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711877" w14:textId="77777777" w:rsidR="00DC6CF3" w:rsidRPr="00CD186B" w:rsidRDefault="00DC6CF3" w:rsidP="00DC6CF3">
      <w:pPr>
        <w:jc w:val="center"/>
        <w:rPr>
          <w:rFonts w:cs="Arial"/>
          <w:b/>
          <w:sz w:val="16"/>
          <w:szCs w:val="16"/>
        </w:rPr>
      </w:pPr>
      <w:r w:rsidRPr="00CD186B">
        <w:rPr>
          <w:rFonts w:cs="Arial"/>
          <w:b/>
          <w:sz w:val="16"/>
          <w:szCs w:val="16"/>
        </w:rPr>
        <w:t>PARTE II</w:t>
      </w:r>
    </w:p>
    <w:p w14:paraId="3CC4899D" w14:textId="77777777" w:rsidR="00DC6CF3" w:rsidRPr="00CD186B" w:rsidRDefault="00DC6CF3" w:rsidP="00DC6CF3">
      <w:pPr>
        <w:jc w:val="center"/>
        <w:rPr>
          <w:rFonts w:cs="Arial"/>
          <w:b/>
          <w:sz w:val="16"/>
          <w:szCs w:val="16"/>
        </w:rPr>
      </w:pPr>
      <w:r w:rsidRPr="00CD186B">
        <w:rPr>
          <w:rFonts w:cs="Arial"/>
          <w:b/>
          <w:sz w:val="16"/>
          <w:szCs w:val="16"/>
        </w:rPr>
        <w:t>MERCADO INTERMEDIADO</w:t>
      </w:r>
    </w:p>
    <w:p w14:paraId="5AE02187" w14:textId="77777777" w:rsidR="00DC6CF3" w:rsidRPr="00CD186B" w:rsidRDefault="00DC6CF3" w:rsidP="00DC6CF3">
      <w:pPr>
        <w:jc w:val="center"/>
        <w:rPr>
          <w:rFonts w:cs="Arial"/>
          <w:b/>
          <w:sz w:val="16"/>
          <w:szCs w:val="16"/>
        </w:rPr>
      </w:pPr>
    </w:p>
    <w:p w14:paraId="63731B8C" w14:textId="77777777" w:rsidR="00DC6CF3" w:rsidRPr="00CD186B" w:rsidRDefault="00DC6CF3" w:rsidP="00DC6CF3">
      <w:pPr>
        <w:jc w:val="center"/>
        <w:rPr>
          <w:rFonts w:cs="Arial"/>
          <w:b/>
          <w:sz w:val="16"/>
          <w:szCs w:val="16"/>
        </w:rPr>
      </w:pPr>
      <w:r w:rsidRPr="00CD186B">
        <w:rPr>
          <w:rFonts w:cs="Arial"/>
          <w:b/>
          <w:sz w:val="16"/>
          <w:szCs w:val="16"/>
        </w:rPr>
        <w:t>TÍTULO IV</w:t>
      </w:r>
    </w:p>
    <w:p w14:paraId="51F4AC17" w14:textId="77777777" w:rsidR="00DC6CF3" w:rsidRPr="00CD186B" w:rsidRDefault="00DC6CF3" w:rsidP="00DC6CF3">
      <w:pPr>
        <w:jc w:val="center"/>
        <w:rPr>
          <w:rFonts w:cs="Arial"/>
          <w:b/>
          <w:sz w:val="16"/>
          <w:szCs w:val="16"/>
        </w:rPr>
      </w:pPr>
      <w:r w:rsidRPr="00CD186B">
        <w:rPr>
          <w:rFonts w:cs="Arial"/>
          <w:b/>
          <w:sz w:val="16"/>
          <w:szCs w:val="16"/>
        </w:rPr>
        <w:t>INSTRUCCIONES GENERALES RELATIVAS A LAS OPERACIONES DE LAS ENTIDADES ASEGURADORAS, CAPITALIZACIÓN E INTERMEDIARIOS DE SEGUROS</w:t>
      </w:r>
    </w:p>
    <w:p w14:paraId="327ACD37" w14:textId="77777777" w:rsidR="00DC6CF3" w:rsidRPr="00CD186B" w:rsidRDefault="00DC6CF3" w:rsidP="00DC6CF3">
      <w:pPr>
        <w:tabs>
          <w:tab w:val="left" w:pos="3769"/>
        </w:tabs>
        <w:rPr>
          <w:rFonts w:cs="Arial"/>
          <w:b/>
          <w:sz w:val="16"/>
          <w:szCs w:val="16"/>
        </w:rPr>
      </w:pPr>
      <w:r>
        <w:rPr>
          <w:rFonts w:cs="Arial"/>
          <w:b/>
          <w:sz w:val="16"/>
          <w:szCs w:val="16"/>
        </w:rPr>
        <w:tab/>
      </w:r>
    </w:p>
    <w:p w14:paraId="2C1F8F2C" w14:textId="77777777" w:rsidR="00DC6CF3" w:rsidRPr="00CD186B" w:rsidRDefault="00DC6CF3" w:rsidP="00DC6CF3">
      <w:pPr>
        <w:jc w:val="center"/>
        <w:rPr>
          <w:rFonts w:cs="Arial"/>
          <w:b/>
          <w:sz w:val="16"/>
          <w:szCs w:val="16"/>
        </w:rPr>
      </w:pPr>
      <w:r w:rsidRPr="00CD186B">
        <w:rPr>
          <w:rFonts w:cs="Arial"/>
          <w:b/>
          <w:sz w:val="16"/>
          <w:szCs w:val="16"/>
        </w:rPr>
        <w:t>CAPÍTULO II: DISPOSICIONES ESPECIALES APLICABLES A LAS ENTIDADES ASEGURADORAS Y REASEGURADORAS</w:t>
      </w:r>
    </w:p>
    <w:p w14:paraId="51C45CCE" w14:textId="77777777" w:rsidR="00DC6CF3" w:rsidRPr="00CD186B" w:rsidRDefault="00DC6CF3" w:rsidP="00DC6CF3">
      <w:pPr>
        <w:rPr>
          <w:rFonts w:cs="Arial"/>
          <w:b/>
          <w:sz w:val="16"/>
          <w:szCs w:val="16"/>
        </w:rPr>
      </w:pPr>
    </w:p>
    <w:p w14:paraId="75293229" w14:textId="77777777" w:rsidR="00DC6CF3" w:rsidRPr="00CD186B" w:rsidRDefault="00DC6CF3" w:rsidP="00DC6CF3">
      <w:pPr>
        <w:pStyle w:val="Encabezadodetabladecontenido1"/>
        <w:spacing w:before="0"/>
        <w:rPr>
          <w:rFonts w:ascii="Arial" w:hAnsi="Arial" w:cs="Arial"/>
          <w:color w:val="auto"/>
          <w:sz w:val="16"/>
          <w:szCs w:val="16"/>
          <w:lang w:val="es-ES"/>
        </w:rPr>
      </w:pPr>
    </w:p>
    <w:p w14:paraId="48763B3E" w14:textId="77777777" w:rsidR="00DC6CF3" w:rsidRPr="00CD186B" w:rsidRDefault="00DC6CF3" w:rsidP="00DC6CF3">
      <w:pPr>
        <w:pStyle w:val="Encabezadodetabladecontenido1"/>
        <w:spacing w:before="0"/>
        <w:rPr>
          <w:rFonts w:ascii="Arial" w:hAnsi="Arial" w:cs="Arial"/>
          <w:color w:val="auto"/>
          <w:sz w:val="16"/>
          <w:szCs w:val="16"/>
        </w:rPr>
      </w:pPr>
      <w:r w:rsidRPr="00CD186B">
        <w:rPr>
          <w:rFonts w:ascii="Arial" w:hAnsi="Arial" w:cs="Arial"/>
          <w:color w:val="auto"/>
          <w:sz w:val="16"/>
          <w:szCs w:val="16"/>
          <w:lang w:val="es-ES"/>
        </w:rPr>
        <w:t>CONTENIDO</w:t>
      </w:r>
    </w:p>
    <w:p w14:paraId="7ACB862C" w14:textId="77777777" w:rsidR="00DC6CF3" w:rsidRPr="00F274E9" w:rsidRDefault="00DC6CF3" w:rsidP="00DC6CF3">
      <w:pPr>
        <w:pStyle w:val="TDC1"/>
        <w:tabs>
          <w:tab w:val="right" w:leader="dot" w:pos="8830"/>
        </w:tabs>
        <w:rPr>
          <w:rFonts w:eastAsia="MS Mincho" w:cs="Arial"/>
          <w:b w:val="0"/>
          <w:bCs w:val="0"/>
          <w:noProof/>
          <w:szCs w:val="16"/>
          <w:lang w:val="es-ES_tradnl" w:eastAsia="ja-JP"/>
        </w:rPr>
      </w:pPr>
      <w:r w:rsidRPr="00F274E9">
        <w:rPr>
          <w:rFonts w:cs="Arial"/>
          <w:szCs w:val="16"/>
        </w:rPr>
        <w:fldChar w:fldCharType="begin"/>
      </w:r>
      <w:r w:rsidRPr="00F274E9">
        <w:rPr>
          <w:rFonts w:cs="Arial"/>
          <w:szCs w:val="16"/>
        </w:rPr>
        <w:instrText xml:space="preserve"> TOC \o "1-2" \h \z \u </w:instrText>
      </w:r>
      <w:r w:rsidRPr="00F274E9">
        <w:rPr>
          <w:rFonts w:cs="Arial"/>
          <w:szCs w:val="16"/>
        </w:rPr>
        <w:fldChar w:fldCharType="separate"/>
      </w:r>
      <w:r w:rsidRPr="00F274E9">
        <w:rPr>
          <w:rFonts w:cs="Arial"/>
          <w:bCs w:val="0"/>
          <w:noProof/>
          <w:szCs w:val="16"/>
        </w:rPr>
        <w:t>1. REGLAS GENERALES SOBRE LA OPERACIÓN DE SEGUROS</w:t>
      </w:r>
    </w:p>
    <w:p w14:paraId="6CE73F37" w14:textId="77777777" w:rsidR="00DC6CF3" w:rsidRPr="00F274E9" w:rsidRDefault="00DC6CF3" w:rsidP="00DC6CF3">
      <w:pPr>
        <w:pStyle w:val="TDC2"/>
        <w:rPr>
          <w:rFonts w:eastAsia="MS Mincho" w:cs="Arial"/>
          <w:iCs w:val="0"/>
          <w:noProof/>
          <w:szCs w:val="16"/>
          <w:lang w:val="es-ES_tradnl" w:eastAsia="ja-JP"/>
        </w:rPr>
      </w:pPr>
      <w:r w:rsidRPr="00F274E9">
        <w:rPr>
          <w:rFonts w:cs="Arial"/>
          <w:noProof/>
          <w:szCs w:val="16"/>
        </w:rPr>
        <w:t>1.1. Autorización de ramos de seguros</w:t>
      </w:r>
    </w:p>
    <w:p w14:paraId="7E711D48" w14:textId="77777777" w:rsidR="00DC6CF3" w:rsidRPr="00F274E9" w:rsidRDefault="00DC6CF3" w:rsidP="00DC6CF3">
      <w:pPr>
        <w:pStyle w:val="TDC2"/>
        <w:rPr>
          <w:rFonts w:eastAsia="MS Mincho" w:cs="Arial"/>
          <w:iCs w:val="0"/>
          <w:noProof/>
          <w:szCs w:val="16"/>
          <w:lang w:val="es-ES_tradnl" w:eastAsia="ja-JP"/>
        </w:rPr>
      </w:pPr>
      <w:r w:rsidRPr="00F274E9">
        <w:rPr>
          <w:rFonts w:cs="Arial"/>
          <w:noProof/>
          <w:szCs w:val="16"/>
        </w:rPr>
        <w:t>1.2. Pólizas y tarifas</w:t>
      </w:r>
    </w:p>
    <w:p w14:paraId="547D608C" w14:textId="77777777" w:rsidR="00DC6CF3" w:rsidRPr="00F274E9" w:rsidRDefault="00DC6CF3" w:rsidP="00DC6CF3">
      <w:pPr>
        <w:pStyle w:val="TDC2"/>
        <w:rPr>
          <w:rFonts w:eastAsia="MS Mincho" w:cs="Arial"/>
          <w:iCs w:val="0"/>
          <w:noProof/>
          <w:szCs w:val="16"/>
          <w:lang w:val="es-ES_tradnl" w:eastAsia="ja-JP"/>
        </w:rPr>
      </w:pPr>
      <w:r w:rsidRPr="00F274E9">
        <w:rPr>
          <w:rFonts w:cs="Arial"/>
          <w:noProof/>
          <w:szCs w:val="16"/>
        </w:rPr>
        <w:t>1.3. Negocios en coaseguro</w:t>
      </w:r>
    </w:p>
    <w:p w14:paraId="68EDAB68" w14:textId="77777777" w:rsidR="00DC6CF3" w:rsidRPr="00F274E9" w:rsidRDefault="00DC6CF3" w:rsidP="00DC6CF3">
      <w:pPr>
        <w:pStyle w:val="TDC2"/>
        <w:rPr>
          <w:rFonts w:cs="Arial"/>
          <w:noProof/>
          <w:szCs w:val="16"/>
        </w:rPr>
      </w:pPr>
      <w:r w:rsidRPr="00F274E9">
        <w:rPr>
          <w:rFonts w:cs="Arial"/>
          <w:noProof/>
          <w:szCs w:val="16"/>
        </w:rPr>
        <w:t>1.4. Comisiones para el intermediario de seguros</w:t>
      </w:r>
    </w:p>
    <w:p w14:paraId="00D598BD" w14:textId="77777777" w:rsidR="00DC6CF3" w:rsidRPr="00F274E9" w:rsidRDefault="00DC6CF3" w:rsidP="00DC6CF3">
      <w:pPr>
        <w:pStyle w:val="TDC2"/>
        <w:rPr>
          <w:rFonts w:cs="Arial"/>
          <w:noProof/>
          <w:szCs w:val="16"/>
        </w:rPr>
      </w:pPr>
      <w:r w:rsidRPr="00F274E9">
        <w:rPr>
          <w:rFonts w:cs="Arial"/>
          <w:noProof/>
          <w:szCs w:val="16"/>
        </w:rPr>
        <w:t>1.5. Financiación de primas</w:t>
      </w:r>
    </w:p>
    <w:p w14:paraId="1D5149FA" w14:textId="77777777" w:rsidR="00DC6CF3" w:rsidRPr="00F274E9" w:rsidRDefault="00DC6CF3" w:rsidP="00DC6CF3">
      <w:pPr>
        <w:pStyle w:val="TDC2"/>
        <w:rPr>
          <w:rFonts w:eastAsia="MS Mincho" w:cs="Arial"/>
          <w:iCs w:val="0"/>
          <w:noProof/>
          <w:szCs w:val="16"/>
          <w:lang w:val="es-ES_tradnl" w:eastAsia="ja-JP"/>
        </w:rPr>
      </w:pPr>
      <w:r w:rsidRPr="00F274E9">
        <w:rPr>
          <w:rFonts w:cs="Arial"/>
          <w:noProof/>
          <w:szCs w:val="16"/>
        </w:rPr>
        <w:t>1.6. Retención de riesgos, cesión y aceptación de reaseguros</w:t>
      </w:r>
    </w:p>
    <w:p w14:paraId="528FC1F4" w14:textId="77777777" w:rsidR="00DC6CF3" w:rsidRPr="00F274E9" w:rsidRDefault="00DC6CF3" w:rsidP="00DC6CF3">
      <w:pPr>
        <w:pStyle w:val="TDC2"/>
        <w:rPr>
          <w:rFonts w:eastAsia="MS Mincho" w:cs="Arial"/>
          <w:iCs w:val="0"/>
          <w:noProof/>
          <w:szCs w:val="16"/>
          <w:lang w:val="es-ES_tradnl" w:eastAsia="ja-JP"/>
        </w:rPr>
      </w:pPr>
      <w:r w:rsidRPr="00F274E9">
        <w:rPr>
          <w:rFonts w:cs="Arial"/>
          <w:noProof/>
          <w:szCs w:val="16"/>
        </w:rPr>
        <w:t>1.7. Prácticas inseguras en la contratación de seguros</w:t>
      </w:r>
    </w:p>
    <w:p w14:paraId="70109394" w14:textId="77777777" w:rsidR="00DC6CF3" w:rsidRPr="00F274E9" w:rsidRDefault="00DC6CF3" w:rsidP="00DC6CF3">
      <w:pPr>
        <w:pStyle w:val="TDC2"/>
        <w:rPr>
          <w:rFonts w:eastAsia="MS Mincho" w:cs="Arial"/>
          <w:iCs w:val="0"/>
          <w:noProof/>
          <w:szCs w:val="16"/>
          <w:lang w:val="es-ES_tradnl" w:eastAsia="ja-JP"/>
        </w:rPr>
      </w:pPr>
      <w:r w:rsidRPr="00F274E9">
        <w:rPr>
          <w:rFonts w:cs="Arial"/>
          <w:noProof/>
          <w:szCs w:val="16"/>
        </w:rPr>
        <w:t>1.8. Criterios y elementos mínimos de las notas técnicas</w:t>
      </w:r>
    </w:p>
    <w:p w14:paraId="46FA8682" w14:textId="77777777" w:rsidR="00DC6CF3" w:rsidRPr="00F274E9" w:rsidRDefault="00DC6CF3" w:rsidP="00DC6CF3">
      <w:pPr>
        <w:pStyle w:val="TDC1"/>
        <w:tabs>
          <w:tab w:val="right" w:leader="dot" w:pos="8830"/>
        </w:tabs>
        <w:rPr>
          <w:rFonts w:eastAsia="MS Mincho" w:cs="Arial"/>
          <w:b w:val="0"/>
          <w:bCs w:val="0"/>
          <w:noProof/>
          <w:szCs w:val="16"/>
          <w:lang w:val="es-ES_tradnl" w:eastAsia="ja-JP"/>
        </w:rPr>
      </w:pPr>
      <w:r w:rsidRPr="00F274E9">
        <w:rPr>
          <w:rFonts w:cs="Arial"/>
          <w:bCs w:val="0"/>
          <w:noProof/>
          <w:szCs w:val="16"/>
        </w:rPr>
        <w:t>2. ASPECTOS FINANCIEROS LAS ENTIDADES ASEGURADORAS</w:t>
      </w:r>
    </w:p>
    <w:p w14:paraId="1406F8E1" w14:textId="77777777" w:rsidR="00DC6CF3" w:rsidRPr="00F274E9" w:rsidRDefault="00DC6CF3" w:rsidP="00DC6CF3">
      <w:pPr>
        <w:pStyle w:val="TDC2"/>
        <w:rPr>
          <w:rFonts w:eastAsia="MS Mincho" w:cs="Arial"/>
          <w:iCs w:val="0"/>
          <w:noProof/>
          <w:szCs w:val="16"/>
          <w:lang w:val="es-ES_tradnl" w:eastAsia="ja-JP"/>
        </w:rPr>
      </w:pPr>
      <w:r w:rsidRPr="00F274E9">
        <w:rPr>
          <w:rFonts w:cs="Arial"/>
          <w:noProof/>
          <w:szCs w:val="16"/>
        </w:rPr>
        <w:t>2.1. Régimen patrimonial</w:t>
      </w:r>
    </w:p>
    <w:p w14:paraId="6A86866F" w14:textId="77777777" w:rsidR="00DC6CF3" w:rsidRPr="00F274E9" w:rsidRDefault="00DC6CF3" w:rsidP="00DC6CF3">
      <w:pPr>
        <w:pStyle w:val="TDC2"/>
        <w:rPr>
          <w:rFonts w:eastAsia="MS Mincho" w:cs="Arial"/>
          <w:iCs w:val="0"/>
          <w:noProof/>
          <w:szCs w:val="16"/>
          <w:lang w:val="es-ES_tradnl" w:eastAsia="ja-JP"/>
        </w:rPr>
      </w:pPr>
      <w:r w:rsidRPr="00F274E9">
        <w:rPr>
          <w:rFonts w:cs="Arial"/>
          <w:noProof/>
          <w:szCs w:val="16"/>
        </w:rPr>
        <w:t>2.2. Reglas sobre el régimen de reservas técnicas y su inversión</w:t>
      </w:r>
    </w:p>
    <w:p w14:paraId="45E04117" w14:textId="77777777" w:rsidR="00DC6CF3" w:rsidRPr="00F274E9" w:rsidRDefault="00DC6CF3" w:rsidP="00DC6CF3">
      <w:pPr>
        <w:pStyle w:val="TDC1"/>
        <w:tabs>
          <w:tab w:val="right" w:leader="dot" w:pos="8830"/>
        </w:tabs>
        <w:rPr>
          <w:rFonts w:eastAsia="MS Mincho" w:cs="Arial"/>
          <w:b w:val="0"/>
          <w:bCs w:val="0"/>
          <w:noProof/>
          <w:szCs w:val="16"/>
          <w:lang w:val="es-ES_tradnl" w:eastAsia="ja-JP"/>
        </w:rPr>
      </w:pPr>
      <w:r w:rsidRPr="00F274E9">
        <w:rPr>
          <w:rFonts w:cs="Arial"/>
          <w:bCs w:val="0"/>
          <w:noProof/>
          <w:szCs w:val="16"/>
        </w:rPr>
        <w:t>3. REGLAS PARTICULARES APLICABLES A CIERTOS RAMOS</w:t>
      </w:r>
    </w:p>
    <w:p w14:paraId="472DF75B" w14:textId="77777777" w:rsidR="00DC6CF3" w:rsidRPr="00F274E9" w:rsidRDefault="00DC6CF3" w:rsidP="00DC6CF3">
      <w:pPr>
        <w:pStyle w:val="TDC2"/>
        <w:rPr>
          <w:rFonts w:eastAsia="MS Mincho" w:cs="Arial"/>
          <w:iCs w:val="0"/>
          <w:noProof/>
          <w:szCs w:val="16"/>
          <w:lang w:val="es-ES_tradnl" w:eastAsia="ja-JP"/>
        </w:rPr>
      </w:pPr>
      <w:r w:rsidRPr="00F274E9">
        <w:rPr>
          <w:rFonts w:cs="Arial"/>
          <w:noProof/>
          <w:szCs w:val="16"/>
        </w:rPr>
        <w:t>3.1. Reglas aplicables al seguro obligatorio de daños corporales causados a las personas en accidentes de tránsito (SOAT)</w:t>
      </w:r>
      <w:r w:rsidRPr="00F274E9">
        <w:rPr>
          <w:rFonts w:eastAsia="MS Mincho" w:cs="Arial"/>
          <w:iCs w:val="0"/>
          <w:noProof/>
          <w:szCs w:val="16"/>
          <w:lang w:val="es-ES_tradnl" w:eastAsia="ja-JP"/>
        </w:rPr>
        <w:t xml:space="preserve"> </w:t>
      </w:r>
    </w:p>
    <w:p w14:paraId="49773C65" w14:textId="77777777" w:rsidR="00DC6CF3" w:rsidRPr="00F274E9" w:rsidRDefault="00DC6CF3" w:rsidP="00DC6CF3">
      <w:pPr>
        <w:pStyle w:val="TDC2"/>
        <w:rPr>
          <w:rFonts w:eastAsia="MS Mincho" w:cs="Arial"/>
          <w:iCs w:val="0"/>
          <w:noProof/>
          <w:szCs w:val="16"/>
          <w:lang w:val="es-ES_tradnl" w:eastAsia="ja-JP"/>
        </w:rPr>
      </w:pPr>
      <w:r w:rsidRPr="00F274E9">
        <w:rPr>
          <w:rFonts w:cs="Arial"/>
          <w:noProof/>
          <w:szCs w:val="16"/>
        </w:rPr>
        <w:t>3.2. Reglas aplicables al seguro previsional de invalidez y sobrevivientes</w:t>
      </w:r>
    </w:p>
    <w:p w14:paraId="7E54BC77" w14:textId="77777777" w:rsidR="00DC6CF3" w:rsidRPr="00F274E9" w:rsidRDefault="00DC6CF3" w:rsidP="00DC6CF3">
      <w:pPr>
        <w:pStyle w:val="TDC2"/>
        <w:rPr>
          <w:rFonts w:eastAsia="MS Mincho" w:cs="Arial"/>
          <w:iCs w:val="0"/>
          <w:noProof/>
          <w:szCs w:val="16"/>
          <w:lang w:val="es-ES_tradnl" w:eastAsia="ja-JP"/>
        </w:rPr>
      </w:pPr>
      <w:r w:rsidRPr="00F274E9">
        <w:rPr>
          <w:rFonts w:cs="Arial"/>
          <w:noProof/>
          <w:szCs w:val="16"/>
        </w:rPr>
        <w:t>3.3. Reglas aplicables al ramo de seguro de pensiones Ley 100</w:t>
      </w:r>
    </w:p>
    <w:p w14:paraId="13CF0FE7" w14:textId="77777777" w:rsidR="00DC6CF3" w:rsidRPr="00F274E9" w:rsidRDefault="00DC6CF3" w:rsidP="00DC6CF3">
      <w:pPr>
        <w:pStyle w:val="TDC2"/>
        <w:rPr>
          <w:rFonts w:cs="Arial"/>
          <w:noProof/>
          <w:szCs w:val="16"/>
        </w:rPr>
      </w:pPr>
      <w:r w:rsidRPr="00F274E9">
        <w:rPr>
          <w:rFonts w:cs="Arial"/>
          <w:noProof/>
          <w:szCs w:val="16"/>
        </w:rPr>
        <w:t>3.4. Reglas aplicables al seguro de riesgos laborales</w:t>
      </w:r>
    </w:p>
    <w:p w14:paraId="09A1CF56" w14:textId="77777777" w:rsidR="00DC6CF3" w:rsidRPr="00F274E9" w:rsidRDefault="00DC6CF3" w:rsidP="00DC6CF3">
      <w:pPr>
        <w:pStyle w:val="TDC2"/>
        <w:rPr>
          <w:rFonts w:eastAsia="MS Mincho" w:cs="Arial"/>
          <w:iCs w:val="0"/>
          <w:noProof/>
          <w:szCs w:val="16"/>
          <w:lang w:val="es-ES_tradnl" w:eastAsia="ja-JP"/>
        </w:rPr>
      </w:pPr>
      <w:r w:rsidRPr="00F274E9">
        <w:rPr>
          <w:rFonts w:cs="Arial"/>
          <w:noProof/>
          <w:szCs w:val="16"/>
        </w:rPr>
        <w:t>3.5. Reglas aplicables al seguro de enfermedades de alto costo</w:t>
      </w:r>
    </w:p>
    <w:p w14:paraId="1F9BD57C" w14:textId="77777777" w:rsidR="00DC6CF3" w:rsidRPr="00F274E9" w:rsidRDefault="00DC6CF3" w:rsidP="00DC6CF3">
      <w:pPr>
        <w:pStyle w:val="TDC2"/>
        <w:rPr>
          <w:rFonts w:eastAsia="MS Mincho" w:cs="Arial"/>
          <w:iCs w:val="0"/>
          <w:noProof/>
          <w:szCs w:val="16"/>
          <w:lang w:val="es-ES_tradnl" w:eastAsia="ja-JP"/>
        </w:rPr>
      </w:pPr>
      <w:r w:rsidRPr="00F274E9">
        <w:rPr>
          <w:rFonts w:cs="Arial"/>
          <w:noProof/>
          <w:szCs w:val="16"/>
        </w:rPr>
        <w:t>3.6. Reglas aplicables a los seguros de vida</w:t>
      </w:r>
    </w:p>
    <w:p w14:paraId="3859B536" w14:textId="77777777" w:rsidR="00DC6CF3" w:rsidRPr="00F274E9" w:rsidRDefault="00DC6CF3" w:rsidP="00DC6CF3">
      <w:pPr>
        <w:pStyle w:val="TDC2"/>
        <w:rPr>
          <w:rFonts w:eastAsia="MS Mincho" w:cs="Arial"/>
          <w:iCs w:val="0"/>
          <w:noProof/>
          <w:szCs w:val="16"/>
          <w:lang w:val="es-ES_tradnl" w:eastAsia="ja-JP"/>
        </w:rPr>
      </w:pPr>
      <w:r w:rsidRPr="00F274E9">
        <w:rPr>
          <w:rFonts w:cs="Arial"/>
          <w:noProof/>
          <w:szCs w:val="16"/>
        </w:rPr>
        <w:t>3.7. Reglas especiales aplicables al ramo de pensiones con conmutación pensional</w:t>
      </w:r>
    </w:p>
    <w:p w14:paraId="6489B72D" w14:textId="77777777" w:rsidR="00DC6CF3" w:rsidRPr="00F274E9" w:rsidRDefault="00DC6CF3" w:rsidP="00DC6CF3">
      <w:pPr>
        <w:pStyle w:val="TDC2"/>
        <w:rPr>
          <w:rFonts w:eastAsia="MS Mincho" w:cs="Arial"/>
          <w:iCs w:val="0"/>
          <w:noProof/>
          <w:szCs w:val="16"/>
          <w:lang w:val="es-ES_tradnl" w:eastAsia="ja-JP"/>
        </w:rPr>
      </w:pPr>
      <w:r w:rsidRPr="00F274E9">
        <w:rPr>
          <w:rFonts w:cs="Arial"/>
          <w:noProof/>
          <w:szCs w:val="16"/>
        </w:rPr>
        <w:t>3.8. Tablas de riesgos de vejez, invalidez y sobrevivencia</w:t>
      </w:r>
    </w:p>
    <w:p w14:paraId="12451C08" w14:textId="77777777" w:rsidR="00DC6CF3" w:rsidRPr="00F274E9" w:rsidRDefault="00DC6CF3" w:rsidP="00DC6CF3">
      <w:pPr>
        <w:pStyle w:val="TDC2"/>
        <w:rPr>
          <w:rFonts w:eastAsia="MS Mincho" w:cs="Arial"/>
          <w:iCs w:val="0"/>
          <w:noProof/>
          <w:szCs w:val="16"/>
          <w:lang w:val="es-ES_tradnl" w:eastAsia="ja-JP"/>
        </w:rPr>
      </w:pPr>
      <w:r w:rsidRPr="00F274E9">
        <w:rPr>
          <w:rFonts w:cs="Arial"/>
          <w:noProof/>
          <w:szCs w:val="16"/>
        </w:rPr>
        <w:t>3.9. Reglas aplicables al ramo de cumplimiento</w:t>
      </w:r>
    </w:p>
    <w:p w14:paraId="00511ADA" w14:textId="77777777" w:rsidR="00DC6CF3" w:rsidRPr="00F274E9" w:rsidRDefault="00DC6CF3" w:rsidP="00DC6CF3">
      <w:pPr>
        <w:pStyle w:val="TDC2"/>
        <w:rPr>
          <w:rFonts w:eastAsia="MS Mincho" w:cs="Arial"/>
          <w:iCs w:val="0"/>
          <w:noProof/>
          <w:szCs w:val="16"/>
          <w:lang w:val="es-ES_tradnl" w:eastAsia="ja-JP"/>
        </w:rPr>
      </w:pPr>
      <w:r w:rsidRPr="00F274E9">
        <w:rPr>
          <w:rFonts w:cs="Arial"/>
          <w:noProof/>
          <w:szCs w:val="16"/>
        </w:rPr>
        <w:t>3.10. Reglas especiales aplicables al ramo de seguro de rentas voluntarias</w:t>
      </w:r>
    </w:p>
    <w:p w14:paraId="427FDCA9" w14:textId="77777777" w:rsidR="00DC6CF3" w:rsidRPr="00F274E9" w:rsidRDefault="00DC6CF3" w:rsidP="00DC6CF3">
      <w:pPr>
        <w:pStyle w:val="TDC2"/>
        <w:rPr>
          <w:rFonts w:cs="Arial"/>
          <w:noProof/>
          <w:szCs w:val="16"/>
        </w:rPr>
      </w:pPr>
      <w:r w:rsidRPr="00F274E9">
        <w:rPr>
          <w:rFonts w:cs="Arial"/>
          <w:noProof/>
          <w:szCs w:val="16"/>
        </w:rPr>
        <w:t>3.11. Reglas aplicables al Seguro de Beneficios Económicos Periódicos - BEPS</w:t>
      </w:r>
    </w:p>
    <w:p w14:paraId="3E411377" w14:textId="77777777" w:rsidR="00DC6CF3" w:rsidRPr="00F274E9" w:rsidRDefault="00DC6CF3" w:rsidP="00DC6CF3">
      <w:pPr>
        <w:pStyle w:val="TDC2"/>
        <w:rPr>
          <w:rFonts w:cs="Arial"/>
          <w:szCs w:val="16"/>
        </w:rPr>
      </w:pPr>
      <w:r w:rsidRPr="00F274E9">
        <w:rPr>
          <w:rFonts w:cs="Arial"/>
          <w:szCs w:val="16"/>
        </w:rPr>
        <w:t>3.12. Reglas aplicables a la póliza de seriedad de la candidatura</w:t>
      </w:r>
    </w:p>
    <w:p w14:paraId="61949CD0" w14:textId="77777777" w:rsidR="00DC6CF3" w:rsidRPr="00F274E9" w:rsidRDefault="00DC6CF3" w:rsidP="00F274E9">
      <w:pPr>
        <w:pStyle w:val="TDC2"/>
        <w:rPr>
          <w:rFonts w:cs="Arial"/>
          <w:noProof/>
          <w:szCs w:val="16"/>
        </w:rPr>
      </w:pPr>
      <w:r w:rsidRPr="00F274E9">
        <w:rPr>
          <w:rFonts w:cs="Arial"/>
          <w:szCs w:val="16"/>
        </w:rPr>
        <w:t>3.13. Reglas aplicables al seguro de terremoto</w:t>
      </w:r>
    </w:p>
    <w:p w14:paraId="1D50B693" w14:textId="77777777" w:rsidR="00DC6CF3" w:rsidRPr="00F274E9" w:rsidRDefault="00DC6CF3" w:rsidP="00DC6CF3">
      <w:pPr>
        <w:pStyle w:val="TDC1"/>
        <w:tabs>
          <w:tab w:val="right" w:leader="dot" w:pos="8830"/>
        </w:tabs>
        <w:rPr>
          <w:rFonts w:eastAsia="MS Mincho" w:cs="Arial"/>
          <w:b w:val="0"/>
          <w:bCs w:val="0"/>
          <w:noProof/>
          <w:szCs w:val="16"/>
          <w:lang w:val="es-ES_tradnl" w:eastAsia="ja-JP"/>
        </w:rPr>
      </w:pPr>
      <w:r w:rsidRPr="00F274E9">
        <w:rPr>
          <w:rFonts w:cs="Arial"/>
          <w:bCs w:val="0"/>
          <w:noProof/>
          <w:szCs w:val="16"/>
        </w:rPr>
        <w:t>4. REGLAS RELATIVAS A OTRAS ACTIVIDADES DESARROLLADAS POR LAS ENTIDADES ASEGURADORAS</w:t>
      </w:r>
    </w:p>
    <w:p w14:paraId="3C78E52B" w14:textId="77777777" w:rsidR="00DC6CF3" w:rsidRPr="00F274E9" w:rsidRDefault="00DC6CF3" w:rsidP="00DC6CF3">
      <w:pPr>
        <w:pStyle w:val="TDC2"/>
        <w:rPr>
          <w:rFonts w:eastAsia="MS Mincho" w:cs="Arial"/>
          <w:iCs w:val="0"/>
          <w:noProof/>
          <w:szCs w:val="16"/>
          <w:lang w:val="es-ES_tradnl" w:eastAsia="ja-JP"/>
        </w:rPr>
      </w:pPr>
      <w:r w:rsidRPr="00F274E9">
        <w:rPr>
          <w:rFonts w:cs="Arial"/>
          <w:noProof/>
          <w:szCs w:val="16"/>
        </w:rPr>
        <w:t>4.1. Emisión de planes alternativos de pensiones</w:t>
      </w:r>
    </w:p>
    <w:p w14:paraId="04FC6C34" w14:textId="77777777" w:rsidR="00DC6CF3" w:rsidRPr="00F274E9" w:rsidRDefault="00DC6CF3" w:rsidP="00DC6CF3">
      <w:pPr>
        <w:pStyle w:val="TDC2"/>
        <w:rPr>
          <w:rFonts w:eastAsia="MS Mincho" w:cs="Arial"/>
          <w:iCs w:val="0"/>
          <w:noProof/>
          <w:szCs w:val="16"/>
          <w:lang w:val="es-ES_tradnl" w:eastAsia="ja-JP"/>
        </w:rPr>
      </w:pPr>
      <w:r w:rsidRPr="00F274E9">
        <w:rPr>
          <w:rFonts w:cs="Arial"/>
          <w:noProof/>
          <w:szCs w:val="16"/>
        </w:rPr>
        <w:t>4.2. Administración de fondos de pensiones de jubilación e invalidez</w:t>
      </w:r>
    </w:p>
    <w:p w14:paraId="62CFC89A" w14:textId="77777777" w:rsidR="00DC6CF3" w:rsidRPr="00F274E9" w:rsidRDefault="00DC6CF3" w:rsidP="00DC6CF3">
      <w:pPr>
        <w:pStyle w:val="TDC1"/>
        <w:tabs>
          <w:tab w:val="right" w:leader="dot" w:pos="8830"/>
        </w:tabs>
        <w:rPr>
          <w:rFonts w:eastAsia="MS Mincho" w:cs="Arial"/>
          <w:b w:val="0"/>
          <w:bCs w:val="0"/>
          <w:noProof/>
          <w:szCs w:val="16"/>
          <w:lang w:val="es-ES_tradnl" w:eastAsia="ja-JP"/>
        </w:rPr>
      </w:pPr>
      <w:r w:rsidRPr="00F274E9">
        <w:rPr>
          <w:rFonts w:cs="Arial"/>
          <w:bCs w:val="0"/>
          <w:noProof/>
          <w:szCs w:val="16"/>
        </w:rPr>
        <w:t>5. SUSCRIPCIÓN DE CONTRATOS DE ENCARGO FIDUCIARIO DE INVERSIÓN POR PARTE DE LAS ENTIDADES ASEGURADORAS</w:t>
      </w:r>
    </w:p>
    <w:p w14:paraId="584FA13F" w14:textId="77777777" w:rsidR="00DC6CF3" w:rsidRPr="00CD186B" w:rsidRDefault="00DC6CF3" w:rsidP="00DC6CF3">
      <w:pPr>
        <w:rPr>
          <w:rFonts w:eastAsia="MS Mincho" w:cs="Arial"/>
          <w:b/>
          <w:bCs/>
          <w:noProof/>
          <w:sz w:val="16"/>
          <w:szCs w:val="16"/>
          <w:lang w:val="es-ES_tradnl" w:eastAsia="ja-JP"/>
        </w:rPr>
      </w:pPr>
      <w:r w:rsidRPr="00F274E9">
        <w:rPr>
          <w:rFonts w:cs="Arial"/>
          <w:sz w:val="16"/>
          <w:szCs w:val="16"/>
        </w:rPr>
        <w:fldChar w:fldCharType="end"/>
      </w:r>
      <w:r w:rsidRPr="00CD186B">
        <w:rPr>
          <w:rFonts w:cs="Arial"/>
          <w:b/>
          <w:bCs/>
          <w:noProof/>
          <w:sz w:val="16"/>
          <w:szCs w:val="16"/>
        </w:rPr>
        <w:t>6. REGLAS RELACIONADAS CON</w:t>
      </w:r>
      <w:r w:rsidRPr="00CD186B">
        <w:rPr>
          <w:rFonts w:cs="Arial"/>
          <w:b/>
          <w:sz w:val="16"/>
          <w:szCs w:val="16"/>
        </w:rPr>
        <w:t xml:space="preserve"> EL ROL DE LOS ACTUARIOS DE LAS ENTIDADES ASEGURADORAS</w:t>
      </w:r>
    </w:p>
    <w:p w14:paraId="01E9DDE9" w14:textId="77777777" w:rsidR="00DC6CF3" w:rsidRPr="00CD186B" w:rsidRDefault="00DC6CF3" w:rsidP="00DC6CF3">
      <w:pPr>
        <w:rPr>
          <w:rFonts w:cs="Arial"/>
          <w:b/>
          <w:sz w:val="16"/>
          <w:szCs w:val="16"/>
          <w:lang w:val="es-ES_tradnl"/>
        </w:rPr>
      </w:pPr>
    </w:p>
    <w:p w14:paraId="03F2D5F7" w14:textId="77777777" w:rsidR="00DC6CF3" w:rsidRPr="00CD186B" w:rsidRDefault="00DC6CF3" w:rsidP="00DC6CF3">
      <w:pPr>
        <w:ind w:left="284"/>
        <w:rPr>
          <w:rFonts w:cs="Arial"/>
          <w:sz w:val="16"/>
          <w:szCs w:val="16"/>
          <w:lang w:val="es-ES_tradnl"/>
        </w:rPr>
      </w:pPr>
      <w:r w:rsidRPr="00CD186B">
        <w:rPr>
          <w:rFonts w:cs="Arial"/>
          <w:sz w:val="16"/>
          <w:szCs w:val="16"/>
          <w:lang w:val="es-ES_tradnl"/>
        </w:rPr>
        <w:t>6.1. Definiciones</w:t>
      </w:r>
    </w:p>
    <w:p w14:paraId="16071F8E" w14:textId="77777777" w:rsidR="00DC6CF3" w:rsidRPr="00CD186B" w:rsidRDefault="00DC6CF3" w:rsidP="00DC6CF3">
      <w:pPr>
        <w:ind w:left="284"/>
        <w:rPr>
          <w:rFonts w:cs="Arial"/>
          <w:sz w:val="16"/>
          <w:szCs w:val="16"/>
          <w:lang w:val="es-ES_tradnl"/>
        </w:rPr>
      </w:pPr>
      <w:r w:rsidRPr="00CD186B">
        <w:rPr>
          <w:rFonts w:cs="Arial"/>
          <w:sz w:val="16"/>
          <w:szCs w:val="16"/>
          <w:lang w:val="es-ES_tradnl"/>
        </w:rPr>
        <w:t>6.2. Actuario Responsable</w:t>
      </w:r>
    </w:p>
    <w:p w14:paraId="2A52453F" w14:textId="77777777" w:rsidR="00DC6CF3" w:rsidRPr="00CD186B" w:rsidRDefault="00DC6CF3" w:rsidP="00DC6CF3">
      <w:pPr>
        <w:ind w:left="284"/>
        <w:rPr>
          <w:rFonts w:cs="Arial"/>
          <w:sz w:val="16"/>
          <w:szCs w:val="16"/>
          <w:lang w:val="es-ES_tradnl"/>
        </w:rPr>
      </w:pPr>
      <w:r w:rsidRPr="00CD186B">
        <w:rPr>
          <w:rFonts w:cs="Arial"/>
          <w:sz w:val="16"/>
          <w:szCs w:val="16"/>
          <w:lang w:val="es-ES_tradnl"/>
        </w:rPr>
        <w:t>6.3. Requisitos para la certificación de suficiencia de las reservas técnicas</w:t>
      </w:r>
    </w:p>
    <w:p w14:paraId="31375519" w14:textId="77777777" w:rsidR="00DC6CF3" w:rsidRPr="00CD186B" w:rsidRDefault="00DC6CF3" w:rsidP="00DC6CF3">
      <w:pPr>
        <w:rPr>
          <w:rFonts w:cs="Arial"/>
          <w:sz w:val="16"/>
          <w:szCs w:val="16"/>
        </w:rPr>
      </w:pPr>
    </w:p>
    <w:p w14:paraId="32C85BB0" w14:textId="77777777" w:rsidR="00DC6CF3" w:rsidRPr="00CD186B" w:rsidRDefault="00DC6CF3" w:rsidP="00DC6CF3">
      <w:pPr>
        <w:jc w:val="both"/>
        <w:rPr>
          <w:rFonts w:cs="Arial"/>
          <w:b/>
          <w:sz w:val="16"/>
          <w:szCs w:val="16"/>
        </w:rPr>
      </w:pPr>
      <w:r w:rsidRPr="00CD186B">
        <w:rPr>
          <w:rFonts w:cs="Arial"/>
          <w:b/>
          <w:bCs/>
          <w:noProof/>
          <w:sz w:val="16"/>
          <w:szCs w:val="16"/>
        </w:rPr>
        <w:t xml:space="preserve">7. </w:t>
      </w:r>
      <w:r w:rsidRPr="00CD186B">
        <w:rPr>
          <w:rFonts w:cs="Arial"/>
          <w:b/>
          <w:sz w:val="16"/>
          <w:szCs w:val="16"/>
        </w:rPr>
        <w:t>INSTRUCCIONES RELATIVAS A LA IDONEIDAD DE PERSONAS NATURALES QUE EJERCEN LA INTERMEDIACIÓN DE SEGUROS</w:t>
      </w:r>
    </w:p>
    <w:p w14:paraId="4B724897" w14:textId="77777777" w:rsidR="00DC6CF3" w:rsidRPr="00CD186B" w:rsidRDefault="00DC6CF3" w:rsidP="00DC6CF3">
      <w:pPr>
        <w:jc w:val="both"/>
        <w:rPr>
          <w:rFonts w:eastAsia="MS Mincho" w:cs="Arial"/>
          <w:bCs/>
          <w:noProof/>
          <w:sz w:val="16"/>
          <w:szCs w:val="16"/>
          <w:lang w:val="es-ES_tradnl" w:eastAsia="ja-JP"/>
        </w:rPr>
      </w:pPr>
    </w:p>
    <w:p w14:paraId="7A579C49" w14:textId="77777777" w:rsidR="00DC6CF3" w:rsidRPr="00CD186B" w:rsidRDefault="00DC6CF3" w:rsidP="00DC6CF3">
      <w:pPr>
        <w:ind w:left="284"/>
        <w:rPr>
          <w:rFonts w:cs="Arial"/>
          <w:sz w:val="16"/>
          <w:szCs w:val="16"/>
          <w:lang w:val="es-ES_tradnl"/>
        </w:rPr>
      </w:pPr>
      <w:r w:rsidRPr="00CD186B">
        <w:rPr>
          <w:rFonts w:cs="Arial"/>
          <w:sz w:val="16"/>
          <w:szCs w:val="16"/>
          <w:lang w:val="es-ES_tradnl"/>
        </w:rPr>
        <w:t>7.1. Ámbito de aplicación</w:t>
      </w:r>
    </w:p>
    <w:p w14:paraId="0E13935C" w14:textId="77777777" w:rsidR="00DC6CF3" w:rsidRPr="00CD186B" w:rsidRDefault="00DC6CF3" w:rsidP="00DC6CF3">
      <w:pPr>
        <w:ind w:left="284"/>
        <w:rPr>
          <w:rFonts w:cs="Arial"/>
          <w:sz w:val="16"/>
          <w:szCs w:val="16"/>
          <w:lang w:val="es-ES_tradnl"/>
        </w:rPr>
      </w:pPr>
      <w:r w:rsidRPr="00CD186B">
        <w:rPr>
          <w:rFonts w:cs="Arial"/>
          <w:sz w:val="16"/>
          <w:szCs w:val="16"/>
          <w:lang w:val="es-ES_tradnl"/>
        </w:rPr>
        <w:t>7.2. Acreditación de idoneidad</w:t>
      </w:r>
    </w:p>
    <w:p w14:paraId="2008E732" w14:textId="77777777" w:rsidR="00DC6CF3" w:rsidRPr="00CD186B" w:rsidRDefault="00DC6CF3" w:rsidP="00DC6CF3">
      <w:pPr>
        <w:ind w:left="284"/>
        <w:rPr>
          <w:rFonts w:cs="Arial"/>
          <w:sz w:val="16"/>
          <w:szCs w:val="16"/>
        </w:rPr>
      </w:pPr>
      <w:r w:rsidRPr="00CD186B">
        <w:rPr>
          <w:rFonts w:cs="Arial"/>
          <w:sz w:val="16"/>
          <w:szCs w:val="16"/>
          <w:lang w:val="es-ES_tradnl"/>
        </w:rPr>
        <w:t xml:space="preserve">7.3. </w:t>
      </w:r>
      <w:r w:rsidRPr="00CD186B">
        <w:rPr>
          <w:rFonts w:cs="Arial"/>
          <w:sz w:val="16"/>
          <w:szCs w:val="16"/>
        </w:rPr>
        <w:t>Responsabilidades de la junta directiva</w:t>
      </w:r>
    </w:p>
    <w:p w14:paraId="109A3A8A" w14:textId="77777777" w:rsidR="00DC6CF3" w:rsidRPr="00CD186B" w:rsidRDefault="00DC6CF3" w:rsidP="00DC6CF3">
      <w:pPr>
        <w:ind w:left="284"/>
        <w:rPr>
          <w:rFonts w:cs="Arial"/>
          <w:sz w:val="16"/>
          <w:szCs w:val="16"/>
          <w:lang w:val="es-ES_tradnl"/>
        </w:rPr>
      </w:pPr>
      <w:r w:rsidRPr="00CD186B">
        <w:rPr>
          <w:rFonts w:cs="Arial"/>
          <w:sz w:val="16"/>
          <w:szCs w:val="16"/>
          <w:lang w:val="es-ES_tradnl"/>
        </w:rPr>
        <w:t>7.4. Documentación</w:t>
      </w:r>
    </w:p>
    <w:p w14:paraId="07C47DA7" w14:textId="77777777" w:rsidR="00DC6CF3" w:rsidRDefault="00DC6CF3" w:rsidP="00DC6CF3">
      <w:pPr>
        <w:tabs>
          <w:tab w:val="left" w:pos="720"/>
          <w:tab w:val="left" w:pos="1064"/>
          <w:tab w:val="left" w:pos="2057"/>
          <w:tab w:val="left" w:pos="8789"/>
        </w:tabs>
        <w:ind w:right="51"/>
        <w:jc w:val="both"/>
        <w:rPr>
          <w:rFonts w:cs="Arial"/>
          <w:b/>
          <w:sz w:val="16"/>
          <w:szCs w:val="16"/>
        </w:rPr>
      </w:pPr>
    </w:p>
    <w:p w14:paraId="18152804" w14:textId="77777777" w:rsidR="00DC6CF3" w:rsidRDefault="00DC6CF3" w:rsidP="00DC6CF3">
      <w:pPr>
        <w:tabs>
          <w:tab w:val="left" w:pos="720"/>
          <w:tab w:val="left" w:pos="1064"/>
          <w:tab w:val="left" w:pos="2057"/>
          <w:tab w:val="left" w:pos="8789"/>
        </w:tabs>
        <w:ind w:right="51"/>
        <w:jc w:val="both"/>
        <w:rPr>
          <w:rFonts w:cs="Arial"/>
          <w:b/>
          <w:sz w:val="16"/>
          <w:szCs w:val="16"/>
        </w:rPr>
      </w:pPr>
    </w:p>
    <w:p w14:paraId="7EACEBB4" w14:textId="77777777" w:rsidR="00DC6CF3" w:rsidRDefault="00DC6CF3" w:rsidP="00DC6CF3">
      <w:pPr>
        <w:tabs>
          <w:tab w:val="left" w:pos="720"/>
          <w:tab w:val="left" w:pos="1064"/>
          <w:tab w:val="left" w:pos="2057"/>
          <w:tab w:val="left" w:pos="8789"/>
        </w:tabs>
        <w:ind w:right="51"/>
        <w:jc w:val="both"/>
        <w:rPr>
          <w:rFonts w:cs="Arial"/>
          <w:b/>
          <w:sz w:val="16"/>
          <w:szCs w:val="16"/>
        </w:rPr>
      </w:pPr>
    </w:p>
    <w:p w14:paraId="4ADB58D1" w14:textId="77777777" w:rsidR="00DC6CF3" w:rsidRDefault="00DC6CF3" w:rsidP="00DC6CF3">
      <w:pPr>
        <w:tabs>
          <w:tab w:val="left" w:pos="720"/>
          <w:tab w:val="left" w:pos="1064"/>
          <w:tab w:val="left" w:pos="2057"/>
          <w:tab w:val="left" w:pos="8789"/>
        </w:tabs>
        <w:ind w:right="51"/>
        <w:jc w:val="both"/>
        <w:rPr>
          <w:rFonts w:cs="Arial"/>
          <w:b/>
          <w:sz w:val="16"/>
          <w:szCs w:val="16"/>
        </w:rPr>
      </w:pPr>
    </w:p>
    <w:p w14:paraId="5BEB30A7" w14:textId="77777777" w:rsidR="00DC6CF3" w:rsidRDefault="00DC6CF3" w:rsidP="00DC6CF3">
      <w:pPr>
        <w:tabs>
          <w:tab w:val="left" w:pos="720"/>
          <w:tab w:val="left" w:pos="1064"/>
          <w:tab w:val="left" w:pos="2057"/>
          <w:tab w:val="left" w:pos="8789"/>
        </w:tabs>
        <w:ind w:right="51"/>
        <w:jc w:val="both"/>
        <w:rPr>
          <w:rFonts w:cs="Arial"/>
          <w:b/>
          <w:sz w:val="16"/>
          <w:szCs w:val="16"/>
        </w:rPr>
      </w:pPr>
    </w:p>
    <w:p w14:paraId="68B651A1" w14:textId="77777777" w:rsidR="00DC6CF3" w:rsidRDefault="00DC6CF3" w:rsidP="00DC6CF3">
      <w:pPr>
        <w:tabs>
          <w:tab w:val="left" w:pos="720"/>
          <w:tab w:val="left" w:pos="1064"/>
          <w:tab w:val="left" w:pos="2057"/>
          <w:tab w:val="left" w:pos="8789"/>
        </w:tabs>
        <w:ind w:right="51"/>
        <w:jc w:val="both"/>
        <w:rPr>
          <w:rFonts w:cs="Arial"/>
          <w:b/>
          <w:sz w:val="16"/>
          <w:szCs w:val="16"/>
        </w:rPr>
      </w:pPr>
    </w:p>
    <w:p w14:paraId="35667AF6" w14:textId="77777777" w:rsidR="00DC6CF3" w:rsidRDefault="00DC6CF3" w:rsidP="00DC6CF3">
      <w:pPr>
        <w:tabs>
          <w:tab w:val="left" w:pos="720"/>
          <w:tab w:val="left" w:pos="1064"/>
          <w:tab w:val="left" w:pos="2057"/>
          <w:tab w:val="left" w:pos="8789"/>
        </w:tabs>
        <w:ind w:right="51"/>
        <w:jc w:val="both"/>
        <w:rPr>
          <w:rFonts w:cs="Arial"/>
          <w:b/>
          <w:sz w:val="16"/>
          <w:szCs w:val="16"/>
        </w:rPr>
      </w:pPr>
    </w:p>
    <w:p w14:paraId="3787F14E" w14:textId="77777777" w:rsidR="00DC6CF3" w:rsidRDefault="00DC6CF3" w:rsidP="00DC6CF3">
      <w:pPr>
        <w:tabs>
          <w:tab w:val="left" w:pos="720"/>
          <w:tab w:val="left" w:pos="1064"/>
          <w:tab w:val="left" w:pos="2057"/>
          <w:tab w:val="left" w:pos="8789"/>
        </w:tabs>
        <w:ind w:right="51"/>
        <w:jc w:val="both"/>
        <w:rPr>
          <w:rFonts w:cs="Arial"/>
          <w:b/>
          <w:sz w:val="16"/>
          <w:szCs w:val="16"/>
        </w:rPr>
      </w:pPr>
    </w:p>
    <w:p w14:paraId="7541112E" w14:textId="77777777" w:rsidR="00DC6CF3" w:rsidRDefault="00DC6CF3" w:rsidP="00DC6CF3">
      <w:pPr>
        <w:tabs>
          <w:tab w:val="left" w:pos="720"/>
          <w:tab w:val="left" w:pos="1064"/>
          <w:tab w:val="left" w:pos="2057"/>
          <w:tab w:val="left" w:pos="8789"/>
        </w:tabs>
        <w:ind w:right="51"/>
        <w:jc w:val="both"/>
        <w:rPr>
          <w:rFonts w:cs="Arial"/>
          <w:b/>
          <w:sz w:val="16"/>
          <w:szCs w:val="16"/>
        </w:rPr>
      </w:pPr>
    </w:p>
    <w:p w14:paraId="5C3CF55D" w14:textId="77777777" w:rsidR="00DC6CF3" w:rsidRDefault="00DC6CF3" w:rsidP="00DC6CF3">
      <w:pPr>
        <w:tabs>
          <w:tab w:val="left" w:pos="720"/>
          <w:tab w:val="left" w:pos="1064"/>
          <w:tab w:val="left" w:pos="2057"/>
          <w:tab w:val="left" w:pos="8789"/>
        </w:tabs>
        <w:ind w:right="51"/>
        <w:jc w:val="both"/>
        <w:rPr>
          <w:rFonts w:cs="Arial"/>
          <w:b/>
          <w:sz w:val="16"/>
          <w:szCs w:val="16"/>
        </w:rPr>
      </w:pPr>
    </w:p>
    <w:p w14:paraId="299DE11B" w14:textId="77777777" w:rsidR="00DC6CF3" w:rsidRDefault="00DC6CF3" w:rsidP="00DC6CF3">
      <w:pPr>
        <w:tabs>
          <w:tab w:val="left" w:pos="720"/>
          <w:tab w:val="left" w:pos="1064"/>
          <w:tab w:val="left" w:pos="2057"/>
          <w:tab w:val="left" w:pos="8789"/>
        </w:tabs>
        <w:ind w:right="51"/>
        <w:jc w:val="both"/>
        <w:rPr>
          <w:rFonts w:cs="Arial"/>
          <w:b/>
          <w:sz w:val="16"/>
          <w:szCs w:val="16"/>
        </w:rPr>
      </w:pPr>
    </w:p>
    <w:p w14:paraId="28D18700" w14:textId="77777777" w:rsidR="00DC6CF3" w:rsidRDefault="00DC6CF3" w:rsidP="00DC6CF3">
      <w:pPr>
        <w:tabs>
          <w:tab w:val="left" w:pos="720"/>
          <w:tab w:val="left" w:pos="1064"/>
          <w:tab w:val="left" w:pos="2057"/>
          <w:tab w:val="left" w:pos="8789"/>
        </w:tabs>
        <w:ind w:right="51"/>
        <w:jc w:val="both"/>
        <w:rPr>
          <w:rFonts w:cs="Arial"/>
          <w:b/>
          <w:sz w:val="16"/>
          <w:szCs w:val="16"/>
        </w:rPr>
      </w:pPr>
    </w:p>
    <w:p w14:paraId="0934DBB4" w14:textId="77777777" w:rsidR="00DC6CF3" w:rsidRDefault="00DC6CF3" w:rsidP="00DC6CF3">
      <w:pPr>
        <w:tabs>
          <w:tab w:val="left" w:pos="720"/>
          <w:tab w:val="left" w:pos="1064"/>
          <w:tab w:val="left" w:pos="2057"/>
          <w:tab w:val="left" w:pos="8789"/>
        </w:tabs>
        <w:ind w:right="51"/>
        <w:jc w:val="both"/>
        <w:rPr>
          <w:rFonts w:cs="Arial"/>
          <w:b/>
          <w:sz w:val="16"/>
          <w:szCs w:val="16"/>
        </w:rPr>
      </w:pPr>
    </w:p>
    <w:p w14:paraId="4BDD2D8E" w14:textId="77777777" w:rsidR="00DC6CF3" w:rsidRDefault="00DC6CF3" w:rsidP="00DC6CF3">
      <w:pPr>
        <w:tabs>
          <w:tab w:val="left" w:pos="720"/>
          <w:tab w:val="left" w:pos="1064"/>
          <w:tab w:val="left" w:pos="2057"/>
          <w:tab w:val="left" w:pos="8789"/>
        </w:tabs>
        <w:ind w:right="51"/>
        <w:jc w:val="both"/>
        <w:rPr>
          <w:rFonts w:cs="Arial"/>
          <w:b/>
          <w:sz w:val="16"/>
          <w:szCs w:val="16"/>
        </w:rPr>
      </w:pPr>
    </w:p>
    <w:p w14:paraId="7F297E05" w14:textId="77777777" w:rsidR="00DC6CF3" w:rsidRDefault="00DC6CF3" w:rsidP="00DC6CF3">
      <w:pPr>
        <w:tabs>
          <w:tab w:val="left" w:pos="720"/>
          <w:tab w:val="left" w:pos="1064"/>
          <w:tab w:val="left" w:pos="2057"/>
          <w:tab w:val="left" w:pos="8789"/>
        </w:tabs>
        <w:ind w:right="51"/>
        <w:jc w:val="both"/>
        <w:rPr>
          <w:rFonts w:cs="Arial"/>
          <w:b/>
          <w:sz w:val="16"/>
          <w:szCs w:val="16"/>
        </w:rPr>
      </w:pPr>
    </w:p>
    <w:p w14:paraId="75D4730F" w14:textId="77777777" w:rsidR="006E283D" w:rsidRDefault="006E283D" w:rsidP="006E283D">
      <w:pPr>
        <w:tabs>
          <w:tab w:val="left" w:pos="720"/>
          <w:tab w:val="left" w:pos="1064"/>
          <w:tab w:val="left" w:pos="2057"/>
          <w:tab w:val="left" w:pos="8789"/>
        </w:tabs>
        <w:ind w:right="51"/>
        <w:jc w:val="both"/>
        <w:rPr>
          <w:rFonts w:cs="Arial"/>
          <w:b/>
          <w:sz w:val="16"/>
          <w:szCs w:val="16"/>
        </w:rPr>
      </w:pPr>
    </w:p>
    <w:p w14:paraId="724F005B" w14:textId="77777777" w:rsidR="00BE660C" w:rsidRPr="00CD186B" w:rsidRDefault="00BE660C" w:rsidP="00BE660C">
      <w:pPr>
        <w:jc w:val="center"/>
        <w:rPr>
          <w:rFonts w:cs="Arial"/>
          <w:b/>
          <w:sz w:val="16"/>
          <w:szCs w:val="16"/>
          <w:lang w:val="es-CO"/>
        </w:rPr>
      </w:pPr>
    </w:p>
    <w:p w14:paraId="5BCD9147" w14:textId="77777777" w:rsidR="004233F9" w:rsidRPr="00CD186B" w:rsidRDefault="004233F9" w:rsidP="00BE660C">
      <w:pPr>
        <w:jc w:val="center"/>
        <w:rPr>
          <w:rFonts w:cs="Arial"/>
          <w:b/>
          <w:sz w:val="16"/>
          <w:szCs w:val="16"/>
        </w:rPr>
        <w:sectPr w:rsidR="004233F9" w:rsidRPr="00CD186B" w:rsidSect="00CD186B">
          <w:headerReference w:type="default" r:id="rId11"/>
          <w:footerReference w:type="default" r:id="rId12"/>
          <w:headerReference w:type="first" r:id="rId13"/>
          <w:pgSz w:w="12240" w:h="18720" w:code="257"/>
          <w:pgMar w:top="1417" w:right="1701" w:bottom="1417" w:left="1701" w:header="709" w:footer="1134" w:gutter="0"/>
          <w:cols w:space="708"/>
          <w:docGrid w:linePitch="360"/>
        </w:sectPr>
      </w:pPr>
    </w:p>
    <w:p w14:paraId="64B812E0" w14:textId="77777777" w:rsidR="000506D4" w:rsidRPr="00CD186B" w:rsidRDefault="000506D4" w:rsidP="00BE660C">
      <w:pPr>
        <w:pStyle w:val="Prrafodelista"/>
        <w:ind w:left="0"/>
        <w:jc w:val="both"/>
        <w:rPr>
          <w:rFonts w:cs="Arial"/>
          <w:sz w:val="16"/>
          <w:szCs w:val="16"/>
        </w:rPr>
      </w:pPr>
      <w:r w:rsidRPr="00866976">
        <w:rPr>
          <w:rFonts w:cs="Arial"/>
          <w:sz w:val="16"/>
          <w:szCs w:val="16"/>
        </w:rPr>
        <w:lastRenderedPageBreak/>
        <w:t>2.2.7.1.1.5. En caso de que en el contrato de reaseguro se hayan establecido depósitos de reserva retenidos a reaseguradoras, el valor del depósito vigente debe ser descontado en la valoración de las contingencias a cargo de las reaseguradoras.</w:t>
      </w:r>
    </w:p>
    <w:p w14:paraId="04B9051A" w14:textId="77777777" w:rsidR="000506D4" w:rsidRPr="00CD186B" w:rsidRDefault="000506D4" w:rsidP="00BE660C">
      <w:pPr>
        <w:pStyle w:val="Prrafodelista"/>
        <w:ind w:left="0"/>
        <w:jc w:val="both"/>
        <w:rPr>
          <w:rFonts w:cs="Arial"/>
          <w:sz w:val="16"/>
          <w:szCs w:val="16"/>
        </w:rPr>
      </w:pPr>
    </w:p>
    <w:p w14:paraId="4905753C" w14:textId="77777777" w:rsidR="000506D4" w:rsidRPr="00CD186B" w:rsidRDefault="000506D4" w:rsidP="00BE660C">
      <w:pPr>
        <w:pStyle w:val="Prrafodelista"/>
        <w:ind w:left="0"/>
        <w:jc w:val="both"/>
        <w:rPr>
          <w:rFonts w:cs="Arial"/>
          <w:sz w:val="16"/>
          <w:szCs w:val="16"/>
        </w:rPr>
      </w:pPr>
      <w:r w:rsidRPr="00CD186B">
        <w:rPr>
          <w:rFonts w:cs="Arial"/>
          <w:sz w:val="16"/>
          <w:szCs w:val="16"/>
        </w:rPr>
        <w:t>Las comisiones y participaciones de utilidades que pagará la reaseguradora a la entidad aseguradora, que estén establecidas en el contrato de reaseguro, no se tendrán en consideración al valorar las contingencias a cargo de las reaseguradoras.</w:t>
      </w:r>
    </w:p>
    <w:p w14:paraId="716F60E0" w14:textId="77777777" w:rsidR="00BE660C" w:rsidRPr="00CD186B" w:rsidRDefault="00BE660C" w:rsidP="00BE660C">
      <w:pPr>
        <w:pStyle w:val="Prrafodelista"/>
        <w:ind w:left="0"/>
        <w:jc w:val="both"/>
        <w:rPr>
          <w:rFonts w:cs="Arial"/>
          <w:sz w:val="16"/>
          <w:szCs w:val="16"/>
        </w:rPr>
      </w:pPr>
    </w:p>
    <w:p w14:paraId="58E468A9" w14:textId="77777777" w:rsidR="000506D4" w:rsidRPr="00CD186B" w:rsidRDefault="000506D4" w:rsidP="00BE660C">
      <w:pPr>
        <w:pStyle w:val="Prrafodelista"/>
        <w:ind w:left="0"/>
        <w:jc w:val="both"/>
        <w:rPr>
          <w:rFonts w:cs="Arial"/>
          <w:sz w:val="16"/>
          <w:szCs w:val="16"/>
        </w:rPr>
      </w:pPr>
      <w:r w:rsidRPr="00CD186B">
        <w:rPr>
          <w:rFonts w:cs="Arial"/>
          <w:sz w:val="16"/>
          <w:szCs w:val="16"/>
        </w:rPr>
        <w:t>2.2.7.1.1.6. Fundamentarse en la estimación del valor esperado de la pérdida por incumplimiento por parte de la reaseguradora.</w:t>
      </w:r>
      <w:r w:rsidRPr="00CD186B" w:rsidDel="00574C63">
        <w:rPr>
          <w:rFonts w:cs="Arial"/>
          <w:sz w:val="16"/>
          <w:szCs w:val="16"/>
        </w:rPr>
        <w:t xml:space="preserve"> </w:t>
      </w:r>
      <w:r w:rsidRPr="00CD186B">
        <w:rPr>
          <w:rFonts w:cs="Arial"/>
          <w:sz w:val="16"/>
          <w:szCs w:val="16"/>
        </w:rPr>
        <w:t>La metodología debe contemplar diferencias entre distintas calificaciones de fortaleza financiera de la reaseguradora, así como aquellas características del numeral 1.6.2.1.5. consideradas relevantes por la entidad aseguradora para la celebración del contrato de reaseguro.</w:t>
      </w:r>
    </w:p>
    <w:p w14:paraId="4D8FFBD4" w14:textId="77777777" w:rsidR="000506D4" w:rsidRPr="00CD186B" w:rsidRDefault="000506D4" w:rsidP="00BE660C">
      <w:pPr>
        <w:pStyle w:val="Prrafodelista"/>
        <w:ind w:left="0"/>
        <w:jc w:val="both"/>
        <w:rPr>
          <w:rFonts w:cs="Arial"/>
          <w:sz w:val="16"/>
          <w:szCs w:val="16"/>
        </w:rPr>
      </w:pPr>
    </w:p>
    <w:p w14:paraId="27BCC517" w14:textId="77777777" w:rsidR="000506D4" w:rsidRPr="00CD186B" w:rsidRDefault="000506D4" w:rsidP="00BE660C">
      <w:pPr>
        <w:pStyle w:val="Prrafodelista"/>
        <w:ind w:left="0"/>
        <w:jc w:val="both"/>
        <w:rPr>
          <w:rFonts w:cs="Arial"/>
          <w:sz w:val="16"/>
          <w:szCs w:val="16"/>
        </w:rPr>
      </w:pPr>
      <w:r w:rsidRPr="00CD186B">
        <w:rPr>
          <w:rFonts w:cs="Arial"/>
          <w:sz w:val="16"/>
          <w:szCs w:val="16"/>
        </w:rPr>
        <w:t xml:space="preserve">2.2.7.1.1.7. La cuantía del deterioro del valor del activo por contingencias a cargo de reaseguradoras cuando se evidencie un cambio en la calificación de fortaleza financiera o variaciones en la pérdida dado el incumplimiento. </w:t>
      </w:r>
    </w:p>
    <w:p w14:paraId="0FE1CB5D" w14:textId="77777777" w:rsidR="000506D4" w:rsidRPr="00CD186B" w:rsidRDefault="000506D4" w:rsidP="00BE660C">
      <w:pPr>
        <w:pStyle w:val="Prrafodelista"/>
        <w:ind w:left="0"/>
        <w:jc w:val="both"/>
        <w:rPr>
          <w:rFonts w:cs="Arial"/>
          <w:sz w:val="16"/>
          <w:szCs w:val="16"/>
        </w:rPr>
      </w:pPr>
    </w:p>
    <w:p w14:paraId="6443779D" w14:textId="77777777" w:rsidR="000506D4" w:rsidRPr="00CD186B" w:rsidRDefault="000506D4" w:rsidP="00BE660C">
      <w:pPr>
        <w:pStyle w:val="Prrafodelista"/>
        <w:ind w:left="0"/>
        <w:jc w:val="both"/>
        <w:rPr>
          <w:rFonts w:cs="Arial"/>
          <w:sz w:val="16"/>
          <w:szCs w:val="16"/>
        </w:rPr>
      </w:pPr>
      <w:r w:rsidRPr="00CD186B">
        <w:rPr>
          <w:rFonts w:cs="Arial"/>
          <w:sz w:val="16"/>
          <w:szCs w:val="16"/>
        </w:rPr>
        <w:t>2.2.7.2. Revisión de la valoración del activo</w:t>
      </w:r>
    </w:p>
    <w:p w14:paraId="0B50B128" w14:textId="77777777" w:rsidR="000506D4" w:rsidRPr="00CD186B" w:rsidRDefault="000506D4" w:rsidP="00BE660C">
      <w:pPr>
        <w:pStyle w:val="Prrafodelista"/>
        <w:ind w:left="0"/>
        <w:jc w:val="both"/>
        <w:rPr>
          <w:rFonts w:cs="Arial"/>
          <w:sz w:val="16"/>
          <w:szCs w:val="16"/>
        </w:rPr>
      </w:pPr>
    </w:p>
    <w:p w14:paraId="31A90D52" w14:textId="77777777" w:rsidR="000506D4" w:rsidRPr="00CD186B" w:rsidRDefault="000506D4" w:rsidP="00BE660C">
      <w:pPr>
        <w:pStyle w:val="Prrafodelista"/>
        <w:ind w:left="0"/>
        <w:jc w:val="both"/>
        <w:rPr>
          <w:rFonts w:cs="Arial"/>
          <w:sz w:val="16"/>
          <w:szCs w:val="16"/>
        </w:rPr>
      </w:pPr>
      <w:r w:rsidRPr="00CD186B">
        <w:rPr>
          <w:rFonts w:cs="Arial"/>
          <w:sz w:val="16"/>
          <w:szCs w:val="16"/>
        </w:rPr>
        <w:t>La revisión del valor del activo correspondiente a las contingencias a cargo de reaseguradoras debe considerar aspectos tales como vencimientos de los contratos de reaseguros o modificaciones a los mismos, cambios en la calificación de fortaleza financiera del reasegurador, los antecedentes en la ejecución de los contratos de reaseguro y demás circunstancias que consideren que puedan afectar la capacidad de pago de cada reaseguradora.</w:t>
      </w:r>
    </w:p>
    <w:p w14:paraId="3D70C8B3" w14:textId="77777777" w:rsidR="000506D4" w:rsidRPr="00CD186B" w:rsidRDefault="000506D4" w:rsidP="00BE660C">
      <w:pPr>
        <w:pStyle w:val="Prrafodelista"/>
        <w:ind w:left="0"/>
        <w:jc w:val="both"/>
        <w:rPr>
          <w:rFonts w:cs="Arial"/>
          <w:sz w:val="16"/>
          <w:szCs w:val="16"/>
        </w:rPr>
      </w:pPr>
    </w:p>
    <w:p w14:paraId="2AD04090" w14:textId="77777777" w:rsidR="000506D4" w:rsidRPr="00CD186B" w:rsidRDefault="000506D4" w:rsidP="00BE660C">
      <w:pPr>
        <w:pStyle w:val="Prrafodelista"/>
        <w:ind w:left="0"/>
        <w:jc w:val="both"/>
        <w:rPr>
          <w:rFonts w:cs="Arial"/>
          <w:sz w:val="16"/>
          <w:szCs w:val="16"/>
        </w:rPr>
      </w:pPr>
      <w:r w:rsidRPr="00CD186B">
        <w:rPr>
          <w:rFonts w:cs="Arial"/>
          <w:sz w:val="16"/>
          <w:szCs w:val="16"/>
        </w:rPr>
        <w:t>En caso de que la mencionada revisión lo justifique, la entidad aseguradora debe modificar contablemente el valor del activo por contingencias a cargo del reasegurador. En todo caso, la totalidad de las reservas técnicas, netas del activo por contingencias a cargo de reaseguradoras, deben estar invertidas de acuerdo con las instrucciones del Título 3 del Libro 31 de la Parte 2 del Decreto 2555 de 2010.</w:t>
      </w:r>
    </w:p>
    <w:p w14:paraId="12499D5F" w14:textId="77777777" w:rsidR="000506D4" w:rsidRPr="00CD186B" w:rsidRDefault="000506D4" w:rsidP="00BE660C">
      <w:pPr>
        <w:pStyle w:val="Prrafodelista"/>
        <w:ind w:left="0"/>
        <w:jc w:val="both"/>
        <w:rPr>
          <w:rFonts w:cs="Arial"/>
          <w:sz w:val="16"/>
          <w:szCs w:val="16"/>
        </w:rPr>
      </w:pPr>
    </w:p>
    <w:p w14:paraId="4D06C358" w14:textId="57C630B4" w:rsidR="00B4422B" w:rsidRDefault="00B4422B" w:rsidP="7DE704E8">
      <w:pPr>
        <w:pStyle w:val="Prrafodelista"/>
        <w:pBdr>
          <w:left w:val="single" w:sz="4" w:space="4" w:color="auto"/>
        </w:pBdr>
        <w:ind w:left="0"/>
        <w:jc w:val="both"/>
        <w:rPr>
          <w:rFonts w:cs="Arial"/>
          <w:b/>
          <w:bCs/>
          <w:sz w:val="16"/>
          <w:szCs w:val="16"/>
        </w:rPr>
      </w:pPr>
      <w:r w:rsidRPr="7DE704E8">
        <w:rPr>
          <w:rFonts w:cs="Arial"/>
          <w:b/>
          <w:bCs/>
          <w:sz w:val="16"/>
          <w:szCs w:val="16"/>
        </w:rPr>
        <w:t xml:space="preserve">2.2.8. </w:t>
      </w:r>
      <w:r w:rsidR="00982FEE" w:rsidRPr="7DE704E8">
        <w:rPr>
          <w:rFonts w:cs="Arial"/>
          <w:b/>
          <w:bCs/>
          <w:sz w:val="16"/>
          <w:szCs w:val="16"/>
        </w:rPr>
        <w:t>Proceso de</w:t>
      </w:r>
      <w:r w:rsidRPr="7DE704E8">
        <w:rPr>
          <w:rFonts w:cs="Arial"/>
          <w:b/>
          <w:bCs/>
          <w:sz w:val="16"/>
          <w:szCs w:val="16"/>
        </w:rPr>
        <w:t xml:space="preserve"> inversión </w:t>
      </w:r>
      <w:r w:rsidR="00456ADE" w:rsidRPr="7DE704E8">
        <w:rPr>
          <w:rFonts w:cs="Arial"/>
          <w:b/>
          <w:bCs/>
          <w:sz w:val="16"/>
          <w:szCs w:val="16"/>
        </w:rPr>
        <w:t xml:space="preserve">y gestión de las inversiones que respaldan </w:t>
      </w:r>
      <w:r w:rsidRPr="7DE704E8">
        <w:rPr>
          <w:rFonts w:cs="Arial"/>
          <w:b/>
          <w:bCs/>
          <w:sz w:val="16"/>
          <w:szCs w:val="16"/>
        </w:rPr>
        <w:t>las reservas técnicas</w:t>
      </w:r>
    </w:p>
    <w:p w14:paraId="52694B6C" w14:textId="2C7F3D96" w:rsidR="00B4422B" w:rsidRDefault="00B4422B" w:rsidP="7DE704E8">
      <w:pPr>
        <w:pStyle w:val="Prrafodelista"/>
        <w:pBdr>
          <w:left w:val="single" w:sz="4" w:space="4" w:color="auto"/>
        </w:pBdr>
        <w:ind w:left="0"/>
        <w:jc w:val="both"/>
        <w:rPr>
          <w:rFonts w:cs="Arial"/>
          <w:b/>
          <w:bCs/>
          <w:sz w:val="16"/>
          <w:szCs w:val="16"/>
        </w:rPr>
      </w:pPr>
    </w:p>
    <w:p w14:paraId="44896DFA" w14:textId="6DFE1DC2" w:rsidR="00EB5288" w:rsidRDefault="00B4422B" w:rsidP="7DE704E8">
      <w:pPr>
        <w:pStyle w:val="Prrafodelista"/>
        <w:pBdr>
          <w:left w:val="single" w:sz="4" w:space="4" w:color="auto"/>
        </w:pBdr>
        <w:ind w:left="0"/>
        <w:jc w:val="both"/>
        <w:rPr>
          <w:rFonts w:cs="Arial"/>
          <w:b/>
          <w:bCs/>
          <w:sz w:val="16"/>
          <w:szCs w:val="16"/>
        </w:rPr>
      </w:pPr>
      <w:r w:rsidRPr="56E9C333">
        <w:rPr>
          <w:rFonts w:cs="Arial"/>
          <w:b/>
          <w:bCs/>
          <w:sz w:val="16"/>
          <w:szCs w:val="16"/>
        </w:rPr>
        <w:t>Las entidades aseguradoras deben adoptar una política de inversión</w:t>
      </w:r>
      <w:r w:rsidR="00993BBD">
        <w:rPr>
          <w:rFonts w:cs="Arial"/>
          <w:b/>
          <w:bCs/>
          <w:sz w:val="16"/>
          <w:szCs w:val="16"/>
        </w:rPr>
        <w:t>,</w:t>
      </w:r>
      <w:r w:rsidRPr="56E9C333">
        <w:rPr>
          <w:rFonts w:cs="Arial"/>
          <w:b/>
          <w:bCs/>
          <w:sz w:val="16"/>
          <w:szCs w:val="16"/>
        </w:rPr>
        <w:t xml:space="preserve"> </w:t>
      </w:r>
      <w:r w:rsidR="008D2A7F" w:rsidRPr="56E9C333">
        <w:rPr>
          <w:rFonts w:cs="Arial"/>
          <w:b/>
          <w:bCs/>
          <w:sz w:val="16"/>
          <w:szCs w:val="16"/>
        </w:rPr>
        <w:t>conforme a</w:t>
      </w:r>
      <w:r w:rsidRPr="56E9C333">
        <w:rPr>
          <w:rFonts w:cs="Arial"/>
          <w:b/>
          <w:bCs/>
          <w:sz w:val="16"/>
          <w:szCs w:val="16"/>
        </w:rPr>
        <w:t xml:space="preserve">l </w:t>
      </w:r>
      <w:r w:rsidR="00A77ED0" w:rsidRPr="56E9C333">
        <w:rPr>
          <w:rFonts w:cs="Arial"/>
          <w:b/>
          <w:bCs/>
          <w:sz w:val="16"/>
          <w:szCs w:val="16"/>
        </w:rPr>
        <w:t>A</w:t>
      </w:r>
      <w:r w:rsidRPr="56E9C333">
        <w:rPr>
          <w:rFonts w:cs="Arial"/>
          <w:b/>
          <w:bCs/>
          <w:sz w:val="16"/>
          <w:szCs w:val="16"/>
        </w:rPr>
        <w:t xml:space="preserve">nexo </w:t>
      </w:r>
      <w:r w:rsidR="00A77ED0" w:rsidRPr="56E9C333">
        <w:rPr>
          <w:rFonts w:cs="Arial"/>
          <w:b/>
          <w:bCs/>
          <w:sz w:val="16"/>
          <w:szCs w:val="16"/>
        </w:rPr>
        <w:t>1</w:t>
      </w:r>
      <w:r w:rsidR="003309B4">
        <w:rPr>
          <w:rFonts w:cs="Arial"/>
          <w:b/>
          <w:bCs/>
          <w:sz w:val="16"/>
          <w:szCs w:val="16"/>
        </w:rPr>
        <w:t>5</w:t>
      </w:r>
      <w:r w:rsidRPr="56E9C333">
        <w:rPr>
          <w:rFonts w:cs="Arial"/>
          <w:b/>
          <w:bCs/>
          <w:sz w:val="16"/>
          <w:szCs w:val="16"/>
        </w:rPr>
        <w:t xml:space="preserve"> del presente Título</w:t>
      </w:r>
      <w:r w:rsidR="008D643A" w:rsidRPr="56E9C333">
        <w:rPr>
          <w:rFonts w:cs="Arial"/>
          <w:b/>
          <w:bCs/>
          <w:sz w:val="16"/>
          <w:szCs w:val="16"/>
        </w:rPr>
        <w:t>. Además</w:t>
      </w:r>
      <w:r w:rsidR="00993BBD">
        <w:rPr>
          <w:rFonts w:cs="Arial"/>
          <w:b/>
          <w:bCs/>
          <w:sz w:val="16"/>
          <w:szCs w:val="16"/>
        </w:rPr>
        <w:t>,</w:t>
      </w:r>
      <w:r w:rsidR="008D643A" w:rsidRPr="56E9C333">
        <w:rPr>
          <w:rFonts w:cs="Arial"/>
          <w:b/>
          <w:bCs/>
          <w:sz w:val="16"/>
          <w:szCs w:val="16"/>
        </w:rPr>
        <w:t xml:space="preserve"> la</w:t>
      </w:r>
      <w:r w:rsidR="0020340C" w:rsidRPr="56E9C333">
        <w:rPr>
          <w:rFonts w:cs="Arial"/>
          <w:b/>
          <w:bCs/>
          <w:sz w:val="16"/>
          <w:szCs w:val="16"/>
        </w:rPr>
        <w:t xml:space="preserve"> gesti</w:t>
      </w:r>
      <w:r w:rsidR="008D643A" w:rsidRPr="56E9C333">
        <w:rPr>
          <w:rFonts w:cs="Arial"/>
          <w:b/>
          <w:bCs/>
          <w:sz w:val="16"/>
          <w:szCs w:val="16"/>
        </w:rPr>
        <w:t xml:space="preserve">ón de las inversiones que respaldan las reservas técnicas deberá realizarse </w:t>
      </w:r>
      <w:r w:rsidR="0020340C" w:rsidRPr="56E9C333">
        <w:rPr>
          <w:rFonts w:cs="Arial"/>
          <w:b/>
          <w:bCs/>
          <w:sz w:val="16"/>
          <w:szCs w:val="16"/>
        </w:rPr>
        <w:t xml:space="preserve">de conformidad con las instrucciones </w:t>
      </w:r>
      <w:r w:rsidR="008D643A" w:rsidRPr="56E9C333">
        <w:rPr>
          <w:rFonts w:cs="Arial"/>
          <w:b/>
          <w:bCs/>
          <w:sz w:val="16"/>
          <w:szCs w:val="16"/>
        </w:rPr>
        <w:t xml:space="preserve">del referido </w:t>
      </w:r>
      <w:r w:rsidR="00993BBD">
        <w:rPr>
          <w:rFonts w:cs="Arial"/>
          <w:b/>
          <w:bCs/>
          <w:sz w:val="16"/>
          <w:szCs w:val="16"/>
        </w:rPr>
        <w:t>A</w:t>
      </w:r>
      <w:r w:rsidR="008D643A" w:rsidRPr="56E9C333">
        <w:rPr>
          <w:rFonts w:cs="Arial"/>
          <w:b/>
          <w:bCs/>
          <w:sz w:val="16"/>
          <w:szCs w:val="16"/>
        </w:rPr>
        <w:t>nexo</w:t>
      </w:r>
      <w:r w:rsidR="0020340C" w:rsidRPr="56E9C333">
        <w:rPr>
          <w:rFonts w:cs="Arial"/>
          <w:b/>
          <w:bCs/>
          <w:sz w:val="16"/>
          <w:szCs w:val="16"/>
        </w:rPr>
        <w:t>.</w:t>
      </w:r>
    </w:p>
    <w:p w14:paraId="2909684F" w14:textId="68F37A8F" w:rsidR="00B4422B" w:rsidRDefault="00B4422B" w:rsidP="7DE704E8">
      <w:pPr>
        <w:pStyle w:val="Prrafodelista"/>
        <w:pBdr>
          <w:left w:val="single" w:sz="4" w:space="4" w:color="auto"/>
        </w:pBdr>
        <w:ind w:left="0"/>
        <w:jc w:val="both"/>
        <w:rPr>
          <w:rFonts w:cs="Arial"/>
          <w:b/>
          <w:bCs/>
          <w:sz w:val="16"/>
          <w:szCs w:val="16"/>
        </w:rPr>
      </w:pPr>
    </w:p>
    <w:p w14:paraId="5FB1B450" w14:textId="16D153D3" w:rsidR="00B4422B" w:rsidRPr="00EE2660" w:rsidRDefault="00B4422B" w:rsidP="7DE704E8">
      <w:pPr>
        <w:pStyle w:val="Prrafodelista"/>
        <w:pBdr>
          <w:left w:val="single" w:sz="4" w:space="4" w:color="auto"/>
        </w:pBdr>
        <w:ind w:left="0"/>
        <w:jc w:val="both"/>
        <w:rPr>
          <w:rFonts w:cs="Arial"/>
          <w:b/>
          <w:bCs/>
          <w:sz w:val="16"/>
          <w:szCs w:val="16"/>
        </w:rPr>
      </w:pPr>
      <w:r w:rsidRPr="7DE704E8">
        <w:rPr>
          <w:rFonts w:cs="Arial"/>
          <w:b/>
          <w:bCs/>
          <w:sz w:val="16"/>
          <w:szCs w:val="16"/>
        </w:rPr>
        <w:t xml:space="preserve">2.2.9. </w:t>
      </w:r>
      <w:r w:rsidR="00383CB6" w:rsidRPr="7DE704E8">
        <w:rPr>
          <w:rFonts w:cs="Arial"/>
          <w:b/>
          <w:bCs/>
          <w:sz w:val="16"/>
          <w:szCs w:val="16"/>
        </w:rPr>
        <w:t>Control de límites de inversión</w:t>
      </w:r>
    </w:p>
    <w:p w14:paraId="77898B1C" w14:textId="72AA999F" w:rsidR="000F171E" w:rsidRPr="00EE2660" w:rsidRDefault="000F171E" w:rsidP="7DE704E8">
      <w:pPr>
        <w:pStyle w:val="Prrafodelista"/>
        <w:pBdr>
          <w:left w:val="single" w:sz="4" w:space="4" w:color="auto"/>
        </w:pBdr>
        <w:ind w:left="0"/>
        <w:jc w:val="both"/>
        <w:rPr>
          <w:rFonts w:cs="Arial"/>
          <w:b/>
          <w:bCs/>
          <w:sz w:val="16"/>
          <w:szCs w:val="16"/>
        </w:rPr>
      </w:pPr>
    </w:p>
    <w:p w14:paraId="15D44AB2" w14:textId="24DA15D2" w:rsidR="000F171E" w:rsidRPr="00EE2660" w:rsidRDefault="000F171E" w:rsidP="7DE704E8">
      <w:pPr>
        <w:pStyle w:val="Prrafodelista"/>
        <w:pBdr>
          <w:left w:val="single" w:sz="4" w:space="4" w:color="auto"/>
        </w:pBdr>
        <w:ind w:left="0"/>
        <w:jc w:val="both"/>
        <w:rPr>
          <w:rFonts w:cs="Arial"/>
          <w:b/>
          <w:bCs/>
          <w:sz w:val="16"/>
          <w:szCs w:val="16"/>
        </w:rPr>
      </w:pPr>
      <w:r w:rsidRPr="7DE704E8">
        <w:rPr>
          <w:rFonts w:cs="Arial"/>
          <w:b/>
          <w:bCs/>
          <w:sz w:val="16"/>
          <w:szCs w:val="16"/>
        </w:rPr>
        <w:t xml:space="preserve">Las entidades aseguradoras deben adoptar procesos y mecanismos que les permitan realizar el control de los límites de inversión tanto </w:t>
      </w:r>
      <w:r w:rsidR="003B2AE7" w:rsidRPr="008945E4">
        <w:rPr>
          <w:rStyle w:val="normaltextrun"/>
          <w:rFonts w:cs="Arial"/>
          <w:b/>
          <w:sz w:val="16"/>
          <w:szCs w:val="18"/>
        </w:rPr>
        <w:t>internos</w:t>
      </w:r>
      <w:r w:rsidRPr="7DE704E8">
        <w:rPr>
          <w:rFonts w:cs="Arial"/>
          <w:b/>
          <w:bCs/>
          <w:sz w:val="16"/>
          <w:szCs w:val="16"/>
        </w:rPr>
        <w:t xml:space="preserve"> como legales, de manera que se dé cumplimiento a las disposiciones del artículo 2.31.3.1.1 </w:t>
      </w:r>
      <w:r w:rsidR="00EE2660" w:rsidRPr="7DE704E8">
        <w:rPr>
          <w:rFonts w:cs="Arial"/>
          <w:b/>
          <w:bCs/>
          <w:sz w:val="16"/>
          <w:szCs w:val="16"/>
        </w:rPr>
        <w:t xml:space="preserve">y siguientes </w:t>
      </w:r>
      <w:r w:rsidRPr="7DE704E8">
        <w:rPr>
          <w:rFonts w:cs="Arial"/>
          <w:b/>
          <w:bCs/>
          <w:sz w:val="16"/>
          <w:szCs w:val="16"/>
        </w:rPr>
        <w:t>del Decreto 2555 de 2010.</w:t>
      </w:r>
    </w:p>
    <w:p w14:paraId="56D0E7A6" w14:textId="77777777" w:rsidR="00DE0577" w:rsidRPr="00EE2660" w:rsidRDefault="00DE0577" w:rsidP="7DE704E8">
      <w:pPr>
        <w:pBdr>
          <w:left w:val="single" w:sz="4" w:space="4" w:color="auto"/>
        </w:pBdr>
        <w:rPr>
          <w:b/>
          <w:bCs/>
          <w:sz w:val="16"/>
          <w:szCs w:val="16"/>
        </w:rPr>
      </w:pPr>
    </w:p>
    <w:p w14:paraId="0F36A0E3" w14:textId="5E105D09" w:rsidR="00EE2660" w:rsidRPr="00EE2660" w:rsidRDefault="00EE2660" w:rsidP="7DE704E8">
      <w:pPr>
        <w:pBdr>
          <w:left w:val="single" w:sz="4" w:space="4" w:color="auto"/>
        </w:pBdr>
        <w:jc w:val="both"/>
        <w:rPr>
          <w:b/>
          <w:bCs/>
          <w:sz w:val="16"/>
          <w:szCs w:val="16"/>
        </w:rPr>
      </w:pPr>
      <w:r w:rsidRPr="7DE704E8">
        <w:rPr>
          <w:b/>
          <w:bCs/>
          <w:sz w:val="16"/>
          <w:szCs w:val="16"/>
        </w:rPr>
        <w:t>2.2.9.1. Control de los límites de inversiones restringidas</w:t>
      </w:r>
    </w:p>
    <w:p w14:paraId="10DB4447" w14:textId="77777777" w:rsidR="00EE2660" w:rsidRDefault="00EE2660" w:rsidP="7DE704E8">
      <w:pPr>
        <w:pBdr>
          <w:left w:val="single" w:sz="4" w:space="4" w:color="auto"/>
        </w:pBdr>
        <w:jc w:val="both"/>
        <w:rPr>
          <w:sz w:val="16"/>
          <w:szCs w:val="16"/>
        </w:rPr>
      </w:pPr>
    </w:p>
    <w:p w14:paraId="5204359E" w14:textId="5BB2ED84" w:rsidR="00DE0577" w:rsidRPr="00BF4ADD" w:rsidRDefault="00DE0577" w:rsidP="7DE704E8">
      <w:pPr>
        <w:pBdr>
          <w:left w:val="single" w:sz="4" w:space="4" w:color="auto"/>
        </w:pBdr>
        <w:jc w:val="both"/>
        <w:rPr>
          <w:b/>
          <w:bCs/>
          <w:sz w:val="16"/>
          <w:szCs w:val="16"/>
        </w:rPr>
      </w:pPr>
      <w:r w:rsidRPr="7DE704E8">
        <w:rPr>
          <w:b/>
          <w:bCs/>
          <w:sz w:val="16"/>
          <w:szCs w:val="16"/>
        </w:rPr>
        <w:t xml:space="preserve">Para el cumplimiento de los </w:t>
      </w:r>
      <w:r w:rsidR="2732661B" w:rsidRPr="7DE704E8">
        <w:rPr>
          <w:b/>
          <w:bCs/>
          <w:sz w:val="16"/>
          <w:szCs w:val="16"/>
        </w:rPr>
        <w:t>límites</w:t>
      </w:r>
      <w:r w:rsidRPr="7DE704E8">
        <w:rPr>
          <w:b/>
          <w:bCs/>
          <w:sz w:val="16"/>
          <w:szCs w:val="16"/>
        </w:rPr>
        <w:t xml:space="preserve"> establecidos para las inversiones </w:t>
      </w:r>
      <w:r w:rsidR="002F744C" w:rsidRPr="7DE704E8">
        <w:rPr>
          <w:b/>
          <w:bCs/>
          <w:sz w:val="16"/>
          <w:szCs w:val="16"/>
        </w:rPr>
        <w:t>que respaldan</w:t>
      </w:r>
      <w:r w:rsidR="00EE2660" w:rsidRPr="7DE704E8">
        <w:rPr>
          <w:b/>
          <w:bCs/>
          <w:sz w:val="16"/>
          <w:szCs w:val="16"/>
        </w:rPr>
        <w:t xml:space="preserve"> las reservas técnicas</w:t>
      </w:r>
      <w:r w:rsidRPr="7DE704E8">
        <w:rPr>
          <w:rFonts w:cs="Arial"/>
          <w:b/>
          <w:bCs/>
          <w:sz w:val="16"/>
          <w:szCs w:val="16"/>
        </w:rPr>
        <w:t>,</w:t>
      </w:r>
      <w:r w:rsidRPr="7DE704E8">
        <w:rPr>
          <w:b/>
          <w:bCs/>
          <w:sz w:val="16"/>
          <w:szCs w:val="16"/>
        </w:rPr>
        <w:t xml:space="preserve"> de que trata </w:t>
      </w:r>
      <w:r w:rsidR="000F4DD0">
        <w:rPr>
          <w:b/>
          <w:bCs/>
          <w:sz w:val="16"/>
          <w:szCs w:val="16"/>
        </w:rPr>
        <w:t>e</w:t>
      </w:r>
      <w:r w:rsidRPr="7DE704E8">
        <w:rPr>
          <w:b/>
          <w:bCs/>
          <w:sz w:val="16"/>
          <w:szCs w:val="16"/>
        </w:rPr>
        <w:t>l art</w:t>
      </w:r>
      <w:r w:rsidR="3D320B70" w:rsidRPr="7DE704E8">
        <w:rPr>
          <w:b/>
          <w:bCs/>
          <w:sz w:val="16"/>
          <w:szCs w:val="16"/>
        </w:rPr>
        <w:t>ículo</w:t>
      </w:r>
      <w:r w:rsidR="00E97E26" w:rsidRPr="7DE704E8">
        <w:rPr>
          <w:b/>
          <w:bCs/>
          <w:sz w:val="16"/>
          <w:szCs w:val="16"/>
        </w:rPr>
        <w:t xml:space="preserve"> 2.31.3.1.4 </w:t>
      </w:r>
      <w:r w:rsidRPr="7DE704E8">
        <w:rPr>
          <w:b/>
          <w:bCs/>
          <w:sz w:val="16"/>
          <w:szCs w:val="16"/>
        </w:rPr>
        <w:t>del Decreto 2555 de 2010</w:t>
      </w:r>
      <w:r w:rsidR="00A26B34">
        <w:rPr>
          <w:b/>
          <w:bCs/>
          <w:sz w:val="16"/>
          <w:szCs w:val="16"/>
        </w:rPr>
        <w:t xml:space="preserve"> </w:t>
      </w:r>
      <w:r w:rsidR="00A26B34">
        <w:rPr>
          <w:rFonts w:cs="Arial"/>
          <w:b/>
          <w:sz w:val="16"/>
          <w:szCs w:val="16"/>
          <w:lang w:val="es-CO"/>
        </w:rPr>
        <w:t>u otras disposiciones</w:t>
      </w:r>
      <w:r w:rsidRPr="7DE704E8">
        <w:rPr>
          <w:b/>
          <w:bCs/>
          <w:sz w:val="16"/>
          <w:szCs w:val="16"/>
        </w:rPr>
        <w:t xml:space="preserve">, las </w:t>
      </w:r>
      <w:r w:rsidR="00E97E26" w:rsidRPr="7DE704E8">
        <w:rPr>
          <w:b/>
          <w:bCs/>
          <w:sz w:val="16"/>
          <w:szCs w:val="16"/>
        </w:rPr>
        <w:t>entidades aseguradoras</w:t>
      </w:r>
      <w:r w:rsidR="000F4DD0">
        <w:rPr>
          <w:b/>
          <w:bCs/>
          <w:sz w:val="16"/>
          <w:szCs w:val="16"/>
        </w:rPr>
        <w:t xml:space="preserve"> de vida</w:t>
      </w:r>
      <w:r w:rsidRPr="7DE704E8">
        <w:rPr>
          <w:b/>
          <w:bCs/>
          <w:sz w:val="16"/>
          <w:szCs w:val="16"/>
        </w:rPr>
        <w:t xml:space="preserve"> deben mantener actualizada la información respecto de la exposición de los vehículos de inversión a activos considerados como inversiones restringidas.</w:t>
      </w:r>
    </w:p>
    <w:p w14:paraId="0689D1C2" w14:textId="77777777" w:rsidR="00DE0577" w:rsidRPr="00BF4ADD" w:rsidRDefault="00DE0577" w:rsidP="7DE704E8">
      <w:pPr>
        <w:pBdr>
          <w:left w:val="single" w:sz="4" w:space="4" w:color="auto"/>
        </w:pBdr>
        <w:jc w:val="both"/>
        <w:rPr>
          <w:b/>
          <w:bCs/>
          <w:sz w:val="16"/>
          <w:szCs w:val="16"/>
        </w:rPr>
      </w:pPr>
    </w:p>
    <w:p w14:paraId="7040AD68" w14:textId="151E14E4" w:rsidR="00DE0577" w:rsidRPr="00BF4ADD" w:rsidRDefault="00DE0577" w:rsidP="7DE704E8">
      <w:pPr>
        <w:pBdr>
          <w:left w:val="single" w:sz="4" w:space="4" w:color="auto"/>
        </w:pBdr>
        <w:jc w:val="both"/>
        <w:rPr>
          <w:b/>
          <w:bCs/>
          <w:sz w:val="16"/>
          <w:szCs w:val="16"/>
        </w:rPr>
      </w:pPr>
      <w:r w:rsidRPr="7DE704E8">
        <w:rPr>
          <w:b/>
          <w:bCs/>
          <w:sz w:val="16"/>
          <w:szCs w:val="16"/>
        </w:rPr>
        <w:t>Para el efecto, la</w:t>
      </w:r>
      <w:r w:rsidR="00BF4ADD" w:rsidRPr="7DE704E8">
        <w:rPr>
          <w:b/>
          <w:bCs/>
          <w:sz w:val="16"/>
          <w:szCs w:val="16"/>
        </w:rPr>
        <w:t>s</w:t>
      </w:r>
      <w:r w:rsidRPr="7DE704E8">
        <w:rPr>
          <w:b/>
          <w:bCs/>
          <w:sz w:val="16"/>
          <w:szCs w:val="16"/>
        </w:rPr>
        <w:t xml:space="preserve"> </w:t>
      </w:r>
      <w:r w:rsidR="00E97E26" w:rsidRPr="7DE704E8">
        <w:rPr>
          <w:b/>
          <w:bCs/>
          <w:sz w:val="16"/>
          <w:szCs w:val="16"/>
        </w:rPr>
        <w:t>entidades aseguradoras</w:t>
      </w:r>
      <w:r w:rsidR="000F4DD0">
        <w:rPr>
          <w:b/>
          <w:bCs/>
          <w:sz w:val="16"/>
          <w:szCs w:val="16"/>
        </w:rPr>
        <w:t xml:space="preserve"> de vida</w:t>
      </w:r>
      <w:r w:rsidR="00E97E26" w:rsidRPr="7DE704E8">
        <w:rPr>
          <w:b/>
          <w:bCs/>
          <w:sz w:val="16"/>
          <w:szCs w:val="16"/>
        </w:rPr>
        <w:t xml:space="preserve"> </w:t>
      </w:r>
      <w:r w:rsidRPr="7DE704E8">
        <w:rPr>
          <w:b/>
          <w:bCs/>
          <w:sz w:val="16"/>
          <w:szCs w:val="16"/>
        </w:rPr>
        <w:t>podrá</w:t>
      </w:r>
      <w:r w:rsidR="00BF4ADD" w:rsidRPr="7DE704E8">
        <w:rPr>
          <w:b/>
          <w:bCs/>
          <w:sz w:val="16"/>
          <w:szCs w:val="16"/>
        </w:rPr>
        <w:t>n</w:t>
      </w:r>
      <w:r w:rsidRPr="7DE704E8">
        <w:rPr>
          <w:b/>
          <w:bCs/>
          <w:sz w:val="16"/>
          <w:szCs w:val="16"/>
        </w:rPr>
        <w:t xml:space="preserve"> implementar mecanismos para determinar la exposición real de los vehículos de inversión a las inversiones restringidas, siempre que se cumplan las condiciones definidas en el subnumeral </w:t>
      </w:r>
      <w:r w:rsidR="00E97E26" w:rsidRPr="7DE704E8">
        <w:rPr>
          <w:b/>
          <w:bCs/>
          <w:sz w:val="16"/>
          <w:szCs w:val="16"/>
        </w:rPr>
        <w:t>2</w:t>
      </w:r>
      <w:r w:rsidRPr="7DE704E8">
        <w:rPr>
          <w:b/>
          <w:bCs/>
          <w:sz w:val="16"/>
          <w:szCs w:val="16"/>
        </w:rPr>
        <w:t>.</w:t>
      </w:r>
      <w:r w:rsidR="00E97E26" w:rsidRPr="7DE704E8">
        <w:rPr>
          <w:b/>
          <w:bCs/>
          <w:sz w:val="16"/>
          <w:szCs w:val="16"/>
        </w:rPr>
        <w:t>2.9.</w:t>
      </w:r>
      <w:r w:rsidRPr="7DE704E8">
        <w:rPr>
          <w:b/>
          <w:bCs/>
          <w:sz w:val="16"/>
          <w:szCs w:val="16"/>
        </w:rPr>
        <w:t>1</w:t>
      </w:r>
      <w:r w:rsidR="00E97E26" w:rsidRPr="7DE704E8">
        <w:rPr>
          <w:b/>
          <w:bCs/>
          <w:sz w:val="16"/>
          <w:szCs w:val="16"/>
        </w:rPr>
        <w:t>.1</w:t>
      </w:r>
      <w:r w:rsidRPr="7DE704E8">
        <w:rPr>
          <w:b/>
          <w:bCs/>
          <w:sz w:val="16"/>
          <w:szCs w:val="16"/>
        </w:rPr>
        <w:t xml:space="preserve"> del presente capítulo. En el caso en que no se pueda</w:t>
      </w:r>
      <w:r w:rsidR="00A32F3B" w:rsidRPr="7DE704E8">
        <w:rPr>
          <w:b/>
          <w:bCs/>
          <w:sz w:val="16"/>
          <w:szCs w:val="16"/>
        </w:rPr>
        <w:t>n</w:t>
      </w:r>
      <w:r w:rsidRPr="7DE704E8">
        <w:rPr>
          <w:b/>
          <w:bCs/>
          <w:sz w:val="16"/>
          <w:szCs w:val="16"/>
        </w:rPr>
        <w:t xml:space="preserve"> implementar </w:t>
      </w:r>
      <w:r w:rsidR="00A32F3B" w:rsidRPr="7DE704E8">
        <w:rPr>
          <w:b/>
          <w:bCs/>
          <w:sz w:val="16"/>
          <w:szCs w:val="16"/>
        </w:rPr>
        <w:t xml:space="preserve">los </w:t>
      </w:r>
      <w:r w:rsidRPr="7DE704E8">
        <w:rPr>
          <w:b/>
          <w:bCs/>
          <w:sz w:val="16"/>
          <w:szCs w:val="16"/>
        </w:rPr>
        <w:t>mecanismo</w:t>
      </w:r>
      <w:r w:rsidR="00A32F3B" w:rsidRPr="7DE704E8">
        <w:rPr>
          <w:b/>
          <w:bCs/>
          <w:sz w:val="16"/>
          <w:szCs w:val="16"/>
        </w:rPr>
        <w:t>s</w:t>
      </w:r>
      <w:r w:rsidR="002A22D6">
        <w:rPr>
          <w:b/>
          <w:bCs/>
          <w:sz w:val="16"/>
          <w:szCs w:val="16"/>
        </w:rPr>
        <w:t xml:space="preserve"> </w:t>
      </w:r>
      <w:r w:rsidRPr="7DE704E8">
        <w:rPr>
          <w:b/>
          <w:bCs/>
          <w:sz w:val="16"/>
          <w:szCs w:val="16"/>
        </w:rPr>
        <w:t>para el computo de la exposición de los vehículos de inversión a activos considerados como inversiones restringidas la</w:t>
      </w:r>
      <w:r w:rsidR="00E97E26" w:rsidRPr="7DE704E8">
        <w:rPr>
          <w:b/>
          <w:bCs/>
          <w:sz w:val="16"/>
          <w:szCs w:val="16"/>
        </w:rPr>
        <w:t>s</w:t>
      </w:r>
      <w:r w:rsidRPr="7DE704E8">
        <w:rPr>
          <w:b/>
          <w:bCs/>
          <w:sz w:val="16"/>
          <w:szCs w:val="16"/>
        </w:rPr>
        <w:t xml:space="preserve"> </w:t>
      </w:r>
      <w:r w:rsidR="00E97E26" w:rsidRPr="7DE704E8">
        <w:rPr>
          <w:b/>
          <w:bCs/>
          <w:sz w:val="16"/>
          <w:szCs w:val="16"/>
        </w:rPr>
        <w:t>entidades aseguradoras</w:t>
      </w:r>
      <w:r w:rsidR="000F4DD0">
        <w:rPr>
          <w:b/>
          <w:bCs/>
          <w:sz w:val="16"/>
          <w:szCs w:val="16"/>
        </w:rPr>
        <w:t xml:space="preserve"> de vida</w:t>
      </w:r>
      <w:r w:rsidRPr="7DE704E8">
        <w:rPr>
          <w:b/>
          <w:bCs/>
          <w:sz w:val="16"/>
          <w:szCs w:val="16"/>
        </w:rPr>
        <w:t xml:space="preserve"> debe</w:t>
      </w:r>
      <w:r w:rsidR="00E97E26" w:rsidRPr="7DE704E8">
        <w:rPr>
          <w:b/>
          <w:bCs/>
          <w:sz w:val="16"/>
          <w:szCs w:val="16"/>
        </w:rPr>
        <w:t>n</w:t>
      </w:r>
      <w:r w:rsidRPr="7DE704E8">
        <w:rPr>
          <w:b/>
          <w:bCs/>
          <w:sz w:val="16"/>
          <w:szCs w:val="16"/>
        </w:rPr>
        <w:t xml:space="preserve"> tomar la máxima exposición permitida en este tipo de inversiones, según la política de inversión establecida en el reglamento del fondo de inversión colectiva o vehículo correspondiente.</w:t>
      </w:r>
    </w:p>
    <w:p w14:paraId="7C4955E1" w14:textId="77777777" w:rsidR="00DE0577" w:rsidRPr="00BF4ADD" w:rsidRDefault="00DE0577" w:rsidP="7DE704E8">
      <w:pPr>
        <w:pBdr>
          <w:left w:val="single" w:sz="4" w:space="4" w:color="auto"/>
        </w:pBdr>
        <w:jc w:val="both"/>
        <w:rPr>
          <w:b/>
          <w:bCs/>
          <w:sz w:val="16"/>
          <w:szCs w:val="16"/>
        </w:rPr>
      </w:pPr>
    </w:p>
    <w:p w14:paraId="70F89E59" w14:textId="3B4C594E" w:rsidR="00DE0577" w:rsidRDefault="00DE0577" w:rsidP="00B01D15">
      <w:pPr>
        <w:pBdr>
          <w:left w:val="single" w:sz="4" w:space="4" w:color="auto"/>
        </w:pBdr>
        <w:jc w:val="both"/>
        <w:rPr>
          <w:b/>
          <w:bCs/>
          <w:sz w:val="16"/>
          <w:szCs w:val="16"/>
        </w:rPr>
      </w:pPr>
      <w:r w:rsidRPr="08E985ED">
        <w:rPr>
          <w:b/>
          <w:bCs/>
          <w:sz w:val="16"/>
          <w:szCs w:val="16"/>
        </w:rPr>
        <w:t>Independientemente de la forma como la</w:t>
      </w:r>
      <w:r w:rsidR="00E97E26" w:rsidRPr="08E985ED">
        <w:rPr>
          <w:b/>
          <w:bCs/>
          <w:sz w:val="16"/>
          <w:szCs w:val="16"/>
        </w:rPr>
        <w:t xml:space="preserve"> entidad aseguradora</w:t>
      </w:r>
      <w:r w:rsidR="000F4DD0">
        <w:rPr>
          <w:b/>
          <w:bCs/>
          <w:sz w:val="16"/>
          <w:szCs w:val="16"/>
        </w:rPr>
        <w:t xml:space="preserve"> de vida</w:t>
      </w:r>
      <w:r w:rsidRPr="08E985ED">
        <w:rPr>
          <w:b/>
          <w:bCs/>
          <w:sz w:val="16"/>
          <w:szCs w:val="16"/>
        </w:rPr>
        <w:t xml:space="preserve"> determine la exposición real de los vehículos de inversión a las inversiones restringidas, debe adelantar una revisión periódica de la política de inversión establecida en el reglamento del fondo de inversión colectiva o vehículo correspondiente y de la información </w:t>
      </w:r>
      <w:r w:rsidR="001E2D97">
        <w:rPr>
          <w:b/>
          <w:bCs/>
          <w:sz w:val="16"/>
          <w:szCs w:val="16"/>
        </w:rPr>
        <w:t xml:space="preserve">conducente y </w:t>
      </w:r>
      <w:r w:rsidRPr="08E985ED">
        <w:rPr>
          <w:b/>
          <w:bCs/>
          <w:sz w:val="16"/>
          <w:szCs w:val="16"/>
        </w:rPr>
        <w:t xml:space="preserve">relevante para la </w:t>
      </w:r>
      <w:r w:rsidR="00B01D15">
        <w:rPr>
          <w:b/>
          <w:bCs/>
          <w:sz w:val="16"/>
          <w:szCs w:val="16"/>
        </w:rPr>
        <w:t>determinación de la exposición.</w:t>
      </w:r>
    </w:p>
    <w:p w14:paraId="11F26122" w14:textId="77777777" w:rsidR="00B01D15" w:rsidRDefault="00B01D15" w:rsidP="00B01D15">
      <w:pPr>
        <w:pBdr>
          <w:left w:val="single" w:sz="4" w:space="4" w:color="auto"/>
        </w:pBdr>
        <w:jc w:val="both"/>
        <w:rPr>
          <w:b/>
          <w:bCs/>
          <w:sz w:val="16"/>
          <w:szCs w:val="16"/>
        </w:rPr>
      </w:pPr>
    </w:p>
    <w:p w14:paraId="0E4C2B70" w14:textId="550096F6" w:rsidR="00DE0577" w:rsidRPr="00B01D15" w:rsidRDefault="00E97E26" w:rsidP="00B01D15">
      <w:pPr>
        <w:pBdr>
          <w:left w:val="single" w:sz="4" w:space="4" w:color="auto"/>
        </w:pBdr>
        <w:jc w:val="both"/>
        <w:rPr>
          <w:b/>
          <w:bCs/>
          <w:sz w:val="16"/>
          <w:szCs w:val="16"/>
        </w:rPr>
      </w:pPr>
      <w:r w:rsidRPr="00B01D15">
        <w:rPr>
          <w:b/>
          <w:bCs/>
          <w:sz w:val="16"/>
          <w:szCs w:val="16"/>
        </w:rPr>
        <w:t>2.2.9.1.</w:t>
      </w:r>
      <w:r w:rsidR="00DE0577" w:rsidRPr="00B01D15">
        <w:rPr>
          <w:b/>
          <w:bCs/>
          <w:sz w:val="16"/>
          <w:szCs w:val="16"/>
        </w:rPr>
        <w:t>1</w:t>
      </w:r>
      <w:r w:rsidRPr="00B01D15">
        <w:rPr>
          <w:b/>
          <w:bCs/>
          <w:sz w:val="16"/>
          <w:szCs w:val="16"/>
        </w:rPr>
        <w:t>.</w:t>
      </w:r>
      <w:r w:rsidR="00DE0577" w:rsidRPr="00B01D15">
        <w:rPr>
          <w:b/>
          <w:bCs/>
          <w:sz w:val="16"/>
          <w:szCs w:val="16"/>
        </w:rPr>
        <w:t xml:space="preserve"> </w:t>
      </w:r>
      <w:r w:rsidRPr="00B01D15">
        <w:rPr>
          <w:b/>
          <w:bCs/>
          <w:sz w:val="16"/>
          <w:szCs w:val="16"/>
        </w:rPr>
        <w:t>Condiciones</w:t>
      </w:r>
      <w:r w:rsidR="00DE0577" w:rsidRPr="00B01D15">
        <w:rPr>
          <w:b/>
          <w:bCs/>
          <w:sz w:val="16"/>
          <w:szCs w:val="16"/>
        </w:rPr>
        <w:t xml:space="preserve"> </w:t>
      </w:r>
      <w:r w:rsidRPr="00B01D15">
        <w:rPr>
          <w:b/>
          <w:bCs/>
          <w:sz w:val="16"/>
          <w:szCs w:val="16"/>
        </w:rPr>
        <w:t>de</w:t>
      </w:r>
      <w:r w:rsidR="00DE0577" w:rsidRPr="00B01D15">
        <w:rPr>
          <w:b/>
          <w:bCs/>
          <w:sz w:val="16"/>
          <w:szCs w:val="16"/>
        </w:rPr>
        <w:t xml:space="preserve"> </w:t>
      </w:r>
      <w:r w:rsidRPr="00B01D15">
        <w:rPr>
          <w:b/>
          <w:bCs/>
          <w:sz w:val="16"/>
          <w:szCs w:val="16"/>
        </w:rPr>
        <w:t>los mecanismos para determinar la exposición real de los vehículos de inversión a las inversiones consideradas como restringidas</w:t>
      </w:r>
    </w:p>
    <w:p w14:paraId="1B2B3278" w14:textId="77777777" w:rsidR="00DE0577" w:rsidRPr="00B01D15" w:rsidRDefault="00DE0577" w:rsidP="7DE704E8">
      <w:pPr>
        <w:pBdr>
          <w:left w:val="single" w:sz="4" w:space="4" w:color="auto"/>
        </w:pBdr>
        <w:jc w:val="both"/>
        <w:rPr>
          <w:b/>
          <w:bCs/>
          <w:sz w:val="16"/>
          <w:szCs w:val="16"/>
        </w:rPr>
      </w:pPr>
    </w:p>
    <w:p w14:paraId="2837C830" w14:textId="68F2EC1B" w:rsidR="0098622C" w:rsidRDefault="00E97E26" w:rsidP="17A9E194">
      <w:pPr>
        <w:pBdr>
          <w:left w:val="single" w:sz="4" w:space="4" w:color="auto"/>
        </w:pBdr>
        <w:jc w:val="both"/>
        <w:rPr>
          <w:b/>
          <w:bCs/>
          <w:sz w:val="16"/>
          <w:szCs w:val="16"/>
        </w:rPr>
      </w:pPr>
      <w:r w:rsidRPr="17A9E194">
        <w:rPr>
          <w:b/>
          <w:bCs/>
          <w:sz w:val="16"/>
          <w:szCs w:val="16"/>
        </w:rPr>
        <w:t>2.2.9.1.1.1</w:t>
      </w:r>
      <w:r w:rsidR="00DE0577" w:rsidRPr="17A9E194">
        <w:rPr>
          <w:b/>
          <w:bCs/>
          <w:sz w:val="16"/>
          <w:szCs w:val="16"/>
        </w:rPr>
        <w:t xml:space="preserve">. </w:t>
      </w:r>
      <w:r w:rsidR="00A4150B">
        <w:rPr>
          <w:b/>
          <w:bCs/>
          <w:sz w:val="16"/>
          <w:szCs w:val="16"/>
        </w:rPr>
        <w:t>I</w:t>
      </w:r>
      <w:r w:rsidR="00DE0577" w:rsidRPr="17A9E194">
        <w:rPr>
          <w:b/>
          <w:bCs/>
          <w:sz w:val="16"/>
          <w:szCs w:val="16"/>
        </w:rPr>
        <w:t xml:space="preserve">nformación actualizada. </w:t>
      </w:r>
      <w:r w:rsidR="0098622C" w:rsidRPr="17A9E194">
        <w:rPr>
          <w:b/>
          <w:bCs/>
          <w:sz w:val="16"/>
          <w:szCs w:val="16"/>
        </w:rPr>
        <w:t xml:space="preserve">En caso de contar con información actualizada, bien sea por certificaciones expedidas por el administrador del vehículo de inversión o por los mecanismos contractuales dispuestos para la divulgación de la estructura de sus activos, </w:t>
      </w:r>
      <w:r w:rsidR="17448E38" w:rsidRPr="17A9E194">
        <w:rPr>
          <w:b/>
          <w:bCs/>
          <w:sz w:val="16"/>
          <w:szCs w:val="16"/>
        </w:rPr>
        <w:t>la entidad aseguradora</w:t>
      </w:r>
      <w:r w:rsidR="000F4DD0">
        <w:rPr>
          <w:b/>
          <w:bCs/>
          <w:sz w:val="16"/>
          <w:szCs w:val="16"/>
        </w:rPr>
        <w:t xml:space="preserve"> de vida</w:t>
      </w:r>
      <w:r w:rsidR="0098622C" w:rsidRPr="17A9E194">
        <w:rPr>
          <w:b/>
          <w:bCs/>
          <w:sz w:val="16"/>
          <w:szCs w:val="16"/>
        </w:rPr>
        <w:t xml:space="preserve"> debe realizar el cálculo de su exposición basad</w:t>
      </w:r>
      <w:r w:rsidR="00723708">
        <w:rPr>
          <w:b/>
          <w:bCs/>
          <w:sz w:val="16"/>
          <w:szCs w:val="16"/>
        </w:rPr>
        <w:t>a</w:t>
      </w:r>
      <w:r w:rsidR="0098622C" w:rsidRPr="17A9E194">
        <w:rPr>
          <w:b/>
          <w:bCs/>
          <w:sz w:val="16"/>
          <w:szCs w:val="16"/>
        </w:rPr>
        <w:t xml:space="preserve"> en esta información, ponderado por el porcentaje de participación </w:t>
      </w:r>
      <w:r w:rsidR="4D1DBF23" w:rsidRPr="17A9E194">
        <w:rPr>
          <w:b/>
          <w:bCs/>
          <w:sz w:val="16"/>
          <w:szCs w:val="16"/>
        </w:rPr>
        <w:t>de</w:t>
      </w:r>
      <w:r w:rsidR="3BACCA81" w:rsidRPr="17A9E194">
        <w:rPr>
          <w:b/>
          <w:bCs/>
          <w:sz w:val="16"/>
          <w:szCs w:val="16"/>
        </w:rPr>
        <w:t xml:space="preserve"> la entidad </w:t>
      </w:r>
      <w:r w:rsidR="0098622C" w:rsidRPr="17A9E194">
        <w:rPr>
          <w:b/>
          <w:bCs/>
          <w:sz w:val="16"/>
          <w:szCs w:val="16"/>
        </w:rPr>
        <w:t>en el respectivo vehículo.</w:t>
      </w:r>
    </w:p>
    <w:p w14:paraId="49C42BB4" w14:textId="77777777" w:rsidR="0098622C" w:rsidRDefault="0098622C" w:rsidP="7DE704E8">
      <w:pPr>
        <w:pBdr>
          <w:left w:val="single" w:sz="4" w:space="4" w:color="auto"/>
        </w:pBdr>
        <w:jc w:val="both"/>
        <w:rPr>
          <w:b/>
          <w:bCs/>
          <w:sz w:val="16"/>
          <w:szCs w:val="16"/>
        </w:rPr>
      </w:pPr>
    </w:p>
    <w:p w14:paraId="6891027B" w14:textId="4A58C16B" w:rsidR="00DE0577" w:rsidRPr="00BF4ADD" w:rsidRDefault="00DE0577" w:rsidP="7DE704E8">
      <w:pPr>
        <w:pBdr>
          <w:left w:val="single" w:sz="4" w:space="4" w:color="auto"/>
        </w:pBdr>
        <w:jc w:val="both"/>
        <w:rPr>
          <w:b/>
          <w:bCs/>
          <w:sz w:val="16"/>
          <w:szCs w:val="16"/>
        </w:rPr>
      </w:pPr>
      <w:r w:rsidRPr="527A6024">
        <w:rPr>
          <w:b/>
          <w:bCs/>
          <w:sz w:val="16"/>
          <w:szCs w:val="16"/>
        </w:rPr>
        <w:t xml:space="preserve">Se entiende por información actualizada aquella publicada por </w:t>
      </w:r>
      <w:r w:rsidR="000C1AB8" w:rsidRPr="527A6024">
        <w:rPr>
          <w:b/>
          <w:bCs/>
          <w:sz w:val="16"/>
          <w:szCs w:val="16"/>
        </w:rPr>
        <w:t xml:space="preserve">la sociedad administradora o gestor </w:t>
      </w:r>
      <w:r w:rsidRPr="527A6024">
        <w:rPr>
          <w:b/>
          <w:bCs/>
          <w:sz w:val="16"/>
          <w:szCs w:val="16"/>
        </w:rPr>
        <w:t xml:space="preserve">del vehículo de inversión o conocida por la </w:t>
      </w:r>
      <w:r w:rsidR="00E97E26" w:rsidRPr="527A6024">
        <w:rPr>
          <w:b/>
          <w:bCs/>
          <w:sz w:val="16"/>
          <w:szCs w:val="16"/>
        </w:rPr>
        <w:t>entidad aseguradora</w:t>
      </w:r>
      <w:r w:rsidRPr="527A6024">
        <w:rPr>
          <w:b/>
          <w:bCs/>
          <w:sz w:val="16"/>
          <w:szCs w:val="16"/>
        </w:rPr>
        <w:t xml:space="preserve"> </w:t>
      </w:r>
      <w:r w:rsidR="000F4DD0">
        <w:rPr>
          <w:b/>
          <w:bCs/>
          <w:sz w:val="16"/>
          <w:szCs w:val="16"/>
        </w:rPr>
        <w:t xml:space="preserve">de vida </w:t>
      </w:r>
      <w:r w:rsidR="00792ABE" w:rsidRPr="527A6024">
        <w:rPr>
          <w:b/>
          <w:bCs/>
          <w:sz w:val="16"/>
          <w:szCs w:val="16"/>
        </w:rPr>
        <w:t>en</w:t>
      </w:r>
      <w:r w:rsidRPr="527A6024">
        <w:rPr>
          <w:b/>
          <w:bCs/>
          <w:sz w:val="16"/>
          <w:szCs w:val="16"/>
        </w:rPr>
        <w:t xml:space="preserve"> los</w:t>
      </w:r>
      <w:r w:rsidR="00792ABE" w:rsidRPr="527A6024">
        <w:rPr>
          <w:b/>
          <w:bCs/>
          <w:sz w:val="16"/>
          <w:szCs w:val="16"/>
        </w:rPr>
        <w:t xml:space="preserve"> últimos</w:t>
      </w:r>
      <w:r w:rsidRPr="527A6024">
        <w:rPr>
          <w:b/>
          <w:bCs/>
          <w:sz w:val="16"/>
          <w:szCs w:val="16"/>
        </w:rPr>
        <w:t xml:space="preserve"> </w:t>
      </w:r>
      <w:r w:rsidR="000F4DD0">
        <w:rPr>
          <w:b/>
          <w:bCs/>
          <w:sz w:val="16"/>
          <w:szCs w:val="16"/>
        </w:rPr>
        <w:t>tres (3)</w:t>
      </w:r>
      <w:r w:rsidRPr="527A6024">
        <w:rPr>
          <w:b/>
          <w:bCs/>
          <w:sz w:val="16"/>
          <w:szCs w:val="16"/>
        </w:rPr>
        <w:t xml:space="preserve"> meses</w:t>
      </w:r>
      <w:r w:rsidR="00792ABE" w:rsidRPr="527A6024">
        <w:rPr>
          <w:b/>
          <w:bCs/>
          <w:sz w:val="16"/>
          <w:szCs w:val="16"/>
        </w:rPr>
        <w:t>.</w:t>
      </w:r>
    </w:p>
    <w:p w14:paraId="1E1905BF" w14:textId="77777777" w:rsidR="00DE0577" w:rsidRPr="00BF4ADD" w:rsidRDefault="00DE0577" w:rsidP="7DE704E8">
      <w:pPr>
        <w:pBdr>
          <w:left w:val="single" w:sz="4" w:space="4" w:color="auto"/>
        </w:pBdr>
        <w:jc w:val="both"/>
        <w:rPr>
          <w:b/>
          <w:bCs/>
          <w:sz w:val="16"/>
          <w:szCs w:val="16"/>
        </w:rPr>
      </w:pPr>
    </w:p>
    <w:p w14:paraId="40FE3ACA" w14:textId="12A886E1" w:rsidR="00DE0577" w:rsidRPr="00BF4ADD" w:rsidRDefault="00E97E26" w:rsidP="7DE704E8">
      <w:pPr>
        <w:pBdr>
          <w:left w:val="single" w:sz="4" w:space="4" w:color="auto"/>
        </w:pBdr>
        <w:jc w:val="both"/>
        <w:rPr>
          <w:b/>
          <w:bCs/>
          <w:sz w:val="16"/>
          <w:szCs w:val="16"/>
        </w:rPr>
      </w:pPr>
      <w:r w:rsidRPr="527A6024">
        <w:rPr>
          <w:b/>
          <w:bCs/>
          <w:sz w:val="16"/>
          <w:szCs w:val="16"/>
        </w:rPr>
        <w:t xml:space="preserve">2.2.9.1.1.2. </w:t>
      </w:r>
      <w:r w:rsidR="00DE0577" w:rsidRPr="527A6024">
        <w:rPr>
          <w:b/>
          <w:bCs/>
          <w:sz w:val="16"/>
          <w:szCs w:val="16"/>
        </w:rPr>
        <w:t xml:space="preserve">Con el fin de prever los movimientos en las composiciones diarias de los </w:t>
      </w:r>
      <w:r w:rsidR="008D7926" w:rsidRPr="527A6024">
        <w:rPr>
          <w:b/>
          <w:bCs/>
          <w:sz w:val="16"/>
          <w:szCs w:val="16"/>
        </w:rPr>
        <w:t>vehículos de inversión</w:t>
      </w:r>
      <w:r w:rsidR="00DE0577" w:rsidRPr="527A6024">
        <w:rPr>
          <w:b/>
          <w:bCs/>
          <w:sz w:val="16"/>
          <w:szCs w:val="16"/>
        </w:rPr>
        <w:t xml:space="preserve"> y su efecto en el cumplimiento de los límites de inversión internos y legales, el mecanismo para determinar la exposición debe incluir un supuesto que permita </w:t>
      </w:r>
      <w:r w:rsidR="005C683B" w:rsidRPr="527A6024">
        <w:rPr>
          <w:b/>
          <w:bCs/>
          <w:sz w:val="16"/>
          <w:szCs w:val="16"/>
        </w:rPr>
        <w:t>re</w:t>
      </w:r>
      <w:r w:rsidR="00C91F3A" w:rsidRPr="527A6024">
        <w:rPr>
          <w:b/>
          <w:bCs/>
          <w:sz w:val="16"/>
          <w:szCs w:val="16"/>
        </w:rPr>
        <w:t xml:space="preserve">alizar la mejor </w:t>
      </w:r>
      <w:r w:rsidR="00DE0577" w:rsidRPr="527A6024">
        <w:rPr>
          <w:b/>
          <w:bCs/>
          <w:sz w:val="16"/>
          <w:szCs w:val="16"/>
        </w:rPr>
        <w:t>estimación de la</w:t>
      </w:r>
      <w:r w:rsidR="00C5407C" w:rsidRPr="527A6024">
        <w:rPr>
          <w:b/>
          <w:bCs/>
          <w:sz w:val="16"/>
          <w:szCs w:val="16"/>
        </w:rPr>
        <w:t xml:space="preserve"> </w:t>
      </w:r>
      <w:r w:rsidR="00DE0577" w:rsidRPr="527A6024">
        <w:rPr>
          <w:b/>
          <w:bCs/>
          <w:sz w:val="16"/>
          <w:szCs w:val="16"/>
        </w:rPr>
        <w:t>exposici</w:t>
      </w:r>
      <w:r w:rsidR="00C5407C" w:rsidRPr="527A6024">
        <w:rPr>
          <w:b/>
          <w:bCs/>
          <w:sz w:val="16"/>
          <w:szCs w:val="16"/>
        </w:rPr>
        <w:t>ón real</w:t>
      </w:r>
      <w:r w:rsidR="00DE0577" w:rsidRPr="527A6024">
        <w:rPr>
          <w:b/>
          <w:bCs/>
          <w:sz w:val="16"/>
          <w:szCs w:val="16"/>
        </w:rPr>
        <w:t xml:space="preserve"> desde a la fecha de cálculo del control de los límites hasta la próxima fecha en la cual se dispone de información actualizada.  </w:t>
      </w:r>
    </w:p>
    <w:p w14:paraId="74223F61" w14:textId="77777777" w:rsidR="00DE0577" w:rsidRPr="00BF4ADD" w:rsidRDefault="00DE0577" w:rsidP="7DE704E8">
      <w:pPr>
        <w:pBdr>
          <w:left w:val="single" w:sz="4" w:space="4" w:color="auto"/>
        </w:pBdr>
        <w:jc w:val="both"/>
        <w:rPr>
          <w:b/>
          <w:bCs/>
          <w:sz w:val="16"/>
          <w:szCs w:val="16"/>
        </w:rPr>
      </w:pPr>
    </w:p>
    <w:p w14:paraId="60E670EF" w14:textId="528D342A" w:rsidR="00DE0577" w:rsidRPr="00BF4ADD" w:rsidRDefault="00E97E26" w:rsidP="7DE704E8">
      <w:pPr>
        <w:pBdr>
          <w:left w:val="single" w:sz="4" w:space="4" w:color="auto"/>
        </w:pBdr>
        <w:jc w:val="both"/>
        <w:rPr>
          <w:b/>
          <w:bCs/>
          <w:sz w:val="16"/>
          <w:szCs w:val="16"/>
        </w:rPr>
      </w:pPr>
      <w:r w:rsidRPr="527A6024">
        <w:rPr>
          <w:b/>
          <w:bCs/>
          <w:sz w:val="16"/>
          <w:szCs w:val="16"/>
        </w:rPr>
        <w:t>2.2.9.1.1.3.</w:t>
      </w:r>
      <w:r w:rsidR="00DE0577" w:rsidRPr="527A6024">
        <w:rPr>
          <w:b/>
          <w:bCs/>
          <w:sz w:val="16"/>
          <w:szCs w:val="16"/>
        </w:rPr>
        <w:t xml:space="preserve"> S</w:t>
      </w:r>
      <w:r w:rsidR="674AC21B" w:rsidRPr="527A6024">
        <w:rPr>
          <w:b/>
          <w:bCs/>
          <w:sz w:val="16"/>
          <w:szCs w:val="16"/>
        </w:rPr>
        <w:t xml:space="preserve">er objeto de revisión </w:t>
      </w:r>
      <w:r w:rsidR="00DE0577" w:rsidRPr="527A6024">
        <w:rPr>
          <w:b/>
          <w:bCs/>
          <w:sz w:val="16"/>
          <w:szCs w:val="16"/>
        </w:rPr>
        <w:t xml:space="preserve">por parte del Comité de Riesgos. Los resultados de la aplicación de los mecanismos de que trata el presente subnumeral deben ser </w:t>
      </w:r>
      <w:r w:rsidR="004544FD" w:rsidRPr="527A6024">
        <w:rPr>
          <w:b/>
          <w:bCs/>
          <w:sz w:val="16"/>
          <w:szCs w:val="16"/>
        </w:rPr>
        <w:t>objeto de seguimiento</w:t>
      </w:r>
      <w:r w:rsidR="00DE0577" w:rsidRPr="527A6024">
        <w:rPr>
          <w:b/>
          <w:bCs/>
          <w:sz w:val="16"/>
          <w:szCs w:val="16"/>
        </w:rPr>
        <w:t xml:space="preserve"> </w:t>
      </w:r>
      <w:r w:rsidR="00E47CE5" w:rsidRPr="527A6024">
        <w:rPr>
          <w:b/>
          <w:bCs/>
          <w:sz w:val="16"/>
          <w:szCs w:val="16"/>
        </w:rPr>
        <w:t>mensual</w:t>
      </w:r>
      <w:r w:rsidR="004544FD" w:rsidRPr="527A6024">
        <w:rPr>
          <w:b/>
          <w:bCs/>
          <w:sz w:val="16"/>
          <w:szCs w:val="16"/>
        </w:rPr>
        <w:t xml:space="preserve"> por parte</w:t>
      </w:r>
      <w:r w:rsidR="00DE0577" w:rsidRPr="527A6024">
        <w:rPr>
          <w:b/>
          <w:bCs/>
          <w:sz w:val="16"/>
          <w:szCs w:val="16"/>
        </w:rPr>
        <w:t xml:space="preserve"> </w:t>
      </w:r>
      <w:r w:rsidR="004544FD" w:rsidRPr="527A6024">
        <w:rPr>
          <w:b/>
          <w:bCs/>
          <w:sz w:val="16"/>
          <w:szCs w:val="16"/>
        </w:rPr>
        <w:t>d</w:t>
      </w:r>
      <w:r w:rsidR="00DE0577" w:rsidRPr="527A6024">
        <w:rPr>
          <w:b/>
          <w:bCs/>
          <w:sz w:val="16"/>
          <w:szCs w:val="16"/>
        </w:rPr>
        <w:t>el Comité de Riesgos, de manera tal que este cumpl</w:t>
      </w:r>
      <w:r w:rsidR="00232CAB" w:rsidRPr="527A6024">
        <w:rPr>
          <w:b/>
          <w:bCs/>
          <w:sz w:val="16"/>
          <w:szCs w:val="16"/>
        </w:rPr>
        <w:t xml:space="preserve">a </w:t>
      </w:r>
      <w:r w:rsidR="00DE0577" w:rsidRPr="527A6024">
        <w:rPr>
          <w:b/>
          <w:bCs/>
          <w:sz w:val="16"/>
          <w:szCs w:val="16"/>
        </w:rPr>
        <w:t xml:space="preserve">con su función de velar por el cumplimiento </w:t>
      </w:r>
      <w:r w:rsidR="3955851C" w:rsidRPr="527A6024">
        <w:rPr>
          <w:b/>
          <w:bCs/>
          <w:sz w:val="16"/>
          <w:szCs w:val="16"/>
        </w:rPr>
        <w:t>de</w:t>
      </w:r>
      <w:r w:rsidR="00DE0577" w:rsidRPr="527A6024">
        <w:rPr>
          <w:b/>
          <w:bCs/>
          <w:sz w:val="16"/>
          <w:szCs w:val="16"/>
        </w:rPr>
        <w:t xml:space="preserve"> los l</w:t>
      </w:r>
      <w:r w:rsidR="00652BF0" w:rsidRPr="527A6024">
        <w:rPr>
          <w:b/>
          <w:bCs/>
          <w:sz w:val="16"/>
          <w:szCs w:val="16"/>
        </w:rPr>
        <w:t>í</w:t>
      </w:r>
      <w:r w:rsidR="00DE0577" w:rsidRPr="527A6024">
        <w:rPr>
          <w:b/>
          <w:bCs/>
          <w:sz w:val="16"/>
          <w:szCs w:val="16"/>
        </w:rPr>
        <w:t>mites internos y legales</w:t>
      </w:r>
      <w:r w:rsidR="001E274F" w:rsidRPr="527A6024">
        <w:rPr>
          <w:b/>
          <w:bCs/>
          <w:sz w:val="16"/>
          <w:szCs w:val="16"/>
        </w:rPr>
        <w:t>,</w:t>
      </w:r>
      <w:r w:rsidR="00CA6172" w:rsidRPr="527A6024">
        <w:rPr>
          <w:b/>
          <w:bCs/>
          <w:sz w:val="16"/>
          <w:szCs w:val="16"/>
        </w:rPr>
        <w:t xml:space="preserve"> señalad</w:t>
      </w:r>
      <w:r w:rsidR="001E274F" w:rsidRPr="527A6024">
        <w:rPr>
          <w:b/>
          <w:bCs/>
          <w:sz w:val="16"/>
          <w:szCs w:val="16"/>
        </w:rPr>
        <w:t>os</w:t>
      </w:r>
      <w:r w:rsidR="00CA6172" w:rsidRPr="527A6024">
        <w:rPr>
          <w:b/>
          <w:bCs/>
          <w:sz w:val="16"/>
          <w:szCs w:val="16"/>
        </w:rPr>
        <w:t xml:space="preserve"> en el subnumeral 2.9 del Anexo </w:t>
      </w:r>
      <w:r w:rsidR="00516E6A" w:rsidRPr="527A6024">
        <w:rPr>
          <w:b/>
          <w:bCs/>
          <w:sz w:val="16"/>
          <w:szCs w:val="16"/>
        </w:rPr>
        <w:t>1</w:t>
      </w:r>
      <w:r w:rsidR="0D5DB201" w:rsidRPr="527A6024">
        <w:rPr>
          <w:b/>
          <w:bCs/>
          <w:sz w:val="16"/>
          <w:szCs w:val="16"/>
        </w:rPr>
        <w:t>5</w:t>
      </w:r>
      <w:r w:rsidR="00516E6A" w:rsidRPr="527A6024">
        <w:rPr>
          <w:b/>
          <w:bCs/>
          <w:sz w:val="16"/>
          <w:szCs w:val="16"/>
        </w:rPr>
        <w:t xml:space="preserve"> del presente Título</w:t>
      </w:r>
      <w:r w:rsidR="00DE0577" w:rsidRPr="527A6024">
        <w:rPr>
          <w:b/>
          <w:bCs/>
          <w:sz w:val="16"/>
          <w:szCs w:val="16"/>
        </w:rPr>
        <w:t xml:space="preserve">. </w:t>
      </w:r>
    </w:p>
    <w:p w14:paraId="0387750B" w14:textId="77777777" w:rsidR="00DE0577" w:rsidRPr="00BF4ADD" w:rsidRDefault="00DE0577" w:rsidP="7DE704E8">
      <w:pPr>
        <w:pBdr>
          <w:left w:val="single" w:sz="4" w:space="4" w:color="auto"/>
        </w:pBdr>
        <w:jc w:val="both"/>
        <w:rPr>
          <w:b/>
          <w:bCs/>
          <w:sz w:val="16"/>
          <w:szCs w:val="16"/>
        </w:rPr>
      </w:pPr>
    </w:p>
    <w:p w14:paraId="7EA1CFE7" w14:textId="61D926AD" w:rsidR="00DE0577" w:rsidRPr="00BF4ADD" w:rsidRDefault="00E97E26" w:rsidP="7DE704E8">
      <w:pPr>
        <w:pBdr>
          <w:left w:val="single" w:sz="4" w:space="4" w:color="auto"/>
        </w:pBdr>
        <w:jc w:val="both"/>
        <w:rPr>
          <w:b/>
          <w:bCs/>
          <w:sz w:val="16"/>
          <w:szCs w:val="16"/>
        </w:rPr>
      </w:pPr>
      <w:r w:rsidRPr="7DE704E8">
        <w:rPr>
          <w:b/>
          <w:bCs/>
          <w:sz w:val="16"/>
          <w:szCs w:val="16"/>
        </w:rPr>
        <w:t xml:space="preserve">2.2.9.1.1.4. </w:t>
      </w:r>
      <w:r w:rsidR="00DE0577" w:rsidRPr="7DE704E8">
        <w:rPr>
          <w:b/>
          <w:bCs/>
          <w:sz w:val="16"/>
          <w:szCs w:val="16"/>
        </w:rPr>
        <w:t xml:space="preserve">El Comité de Riesgos </w:t>
      </w:r>
      <w:r w:rsidR="75372F8B" w:rsidRPr="7DE704E8">
        <w:rPr>
          <w:b/>
          <w:bCs/>
          <w:sz w:val="16"/>
          <w:szCs w:val="16"/>
        </w:rPr>
        <w:t>debe designar</w:t>
      </w:r>
      <w:r w:rsidR="00DE0577" w:rsidRPr="7DE704E8">
        <w:rPr>
          <w:b/>
          <w:bCs/>
          <w:sz w:val="16"/>
          <w:szCs w:val="16"/>
        </w:rPr>
        <w:t xml:space="preserve"> </w:t>
      </w:r>
      <w:r w:rsidR="75372F8B" w:rsidRPr="7DE704E8">
        <w:rPr>
          <w:b/>
          <w:bCs/>
          <w:sz w:val="16"/>
          <w:szCs w:val="16"/>
        </w:rPr>
        <w:t xml:space="preserve">el área </w:t>
      </w:r>
      <w:r w:rsidR="00DE0577" w:rsidRPr="7DE704E8">
        <w:rPr>
          <w:b/>
          <w:bCs/>
          <w:sz w:val="16"/>
          <w:szCs w:val="16"/>
        </w:rPr>
        <w:t xml:space="preserve">responsable de la presentación de los informes con los resultados de la aplicación de los mecanismos de que trata el presente subnumeral, </w:t>
      </w:r>
      <w:r w:rsidR="7FBBA1BF" w:rsidRPr="7DE704E8">
        <w:rPr>
          <w:b/>
          <w:bCs/>
          <w:sz w:val="16"/>
          <w:szCs w:val="16"/>
        </w:rPr>
        <w:t>quien a su vez</w:t>
      </w:r>
      <w:r w:rsidR="00DE0577" w:rsidRPr="7DE704E8">
        <w:rPr>
          <w:b/>
          <w:bCs/>
          <w:sz w:val="16"/>
          <w:szCs w:val="16"/>
        </w:rPr>
        <w:t xml:space="preserve"> será la encargada del control diario del cumplimiento de los límites de inversión.</w:t>
      </w:r>
    </w:p>
    <w:p w14:paraId="24EB047B" w14:textId="77777777" w:rsidR="005C325A" w:rsidRDefault="005C325A" w:rsidP="7DE704E8">
      <w:pPr>
        <w:pBdr>
          <w:left w:val="single" w:sz="4" w:space="4" w:color="auto"/>
        </w:pBdr>
        <w:jc w:val="both"/>
        <w:rPr>
          <w:b/>
          <w:bCs/>
          <w:sz w:val="16"/>
          <w:szCs w:val="16"/>
        </w:rPr>
        <w:sectPr w:rsidR="005C325A" w:rsidSect="00B269D7">
          <w:headerReference w:type="default" r:id="rId14"/>
          <w:footerReference w:type="default" r:id="rId15"/>
          <w:headerReference w:type="first" r:id="rId16"/>
          <w:footerReference w:type="first" r:id="rId17"/>
          <w:pgSz w:w="12240" w:h="18720" w:code="257"/>
          <w:pgMar w:top="1417" w:right="1701" w:bottom="1417" w:left="1701" w:header="709" w:footer="865" w:gutter="0"/>
          <w:pgNumType w:start="31"/>
          <w:cols w:space="708"/>
          <w:docGrid w:linePitch="360"/>
        </w:sectPr>
      </w:pPr>
    </w:p>
    <w:p w14:paraId="61B3185E" w14:textId="3FEAF270" w:rsidR="00DE0577" w:rsidRPr="00BF4ADD" w:rsidRDefault="00E97E26" w:rsidP="7DE704E8">
      <w:pPr>
        <w:pBdr>
          <w:left w:val="single" w:sz="4" w:space="4" w:color="auto"/>
        </w:pBdr>
        <w:jc w:val="both"/>
        <w:rPr>
          <w:b/>
          <w:bCs/>
          <w:sz w:val="16"/>
          <w:szCs w:val="16"/>
        </w:rPr>
      </w:pPr>
      <w:r w:rsidRPr="527A6024">
        <w:rPr>
          <w:b/>
          <w:bCs/>
          <w:sz w:val="16"/>
          <w:szCs w:val="16"/>
        </w:rPr>
        <w:lastRenderedPageBreak/>
        <w:t xml:space="preserve">2.2.9.1.1.5. </w:t>
      </w:r>
      <w:r w:rsidR="7B325318" w:rsidRPr="527A6024">
        <w:rPr>
          <w:b/>
          <w:bCs/>
          <w:sz w:val="16"/>
          <w:szCs w:val="16"/>
        </w:rPr>
        <w:t>E</w:t>
      </w:r>
      <w:r w:rsidR="00DE0577" w:rsidRPr="527A6024">
        <w:rPr>
          <w:b/>
          <w:bCs/>
          <w:sz w:val="16"/>
          <w:szCs w:val="16"/>
        </w:rPr>
        <w:t xml:space="preserve">xposición subyacente en el caso de inversiones realizadas a través de </w:t>
      </w:r>
      <w:r w:rsidR="007E5824" w:rsidRPr="527A6024">
        <w:rPr>
          <w:b/>
          <w:bCs/>
          <w:sz w:val="16"/>
          <w:szCs w:val="16"/>
        </w:rPr>
        <w:t>f</w:t>
      </w:r>
      <w:r w:rsidR="00DE0577" w:rsidRPr="527A6024">
        <w:rPr>
          <w:b/>
          <w:bCs/>
          <w:sz w:val="16"/>
          <w:szCs w:val="16"/>
        </w:rPr>
        <w:t xml:space="preserve">ondos de fondos u otros vehículos de inversión mediante los cuales la </w:t>
      </w:r>
      <w:r w:rsidRPr="527A6024">
        <w:rPr>
          <w:b/>
          <w:bCs/>
          <w:sz w:val="16"/>
          <w:szCs w:val="16"/>
        </w:rPr>
        <w:t>entidad aseguradora</w:t>
      </w:r>
      <w:r w:rsidR="000F4DD0">
        <w:rPr>
          <w:b/>
          <w:bCs/>
          <w:sz w:val="16"/>
          <w:szCs w:val="16"/>
        </w:rPr>
        <w:t xml:space="preserve"> de vida</w:t>
      </w:r>
      <w:r w:rsidR="00DE0577" w:rsidRPr="527A6024">
        <w:rPr>
          <w:b/>
          <w:bCs/>
          <w:sz w:val="16"/>
          <w:szCs w:val="16"/>
        </w:rPr>
        <w:t xml:space="preserve"> tenga una exposición a inversiones restringidas. En el caso que la </w:t>
      </w:r>
      <w:r w:rsidRPr="527A6024">
        <w:rPr>
          <w:b/>
          <w:bCs/>
          <w:sz w:val="16"/>
          <w:szCs w:val="16"/>
        </w:rPr>
        <w:t>entidad aseguradora</w:t>
      </w:r>
      <w:r w:rsidR="000F4DD0">
        <w:rPr>
          <w:b/>
          <w:bCs/>
          <w:sz w:val="16"/>
          <w:szCs w:val="16"/>
        </w:rPr>
        <w:t xml:space="preserve"> de vida</w:t>
      </w:r>
      <w:r w:rsidR="00DE0577" w:rsidRPr="527A6024">
        <w:rPr>
          <w:b/>
          <w:bCs/>
          <w:sz w:val="16"/>
          <w:szCs w:val="16"/>
        </w:rPr>
        <w:t xml:space="preserve"> realice inversiones en </w:t>
      </w:r>
      <w:r w:rsidR="0009313D" w:rsidRPr="527A6024">
        <w:rPr>
          <w:b/>
          <w:bCs/>
          <w:sz w:val="16"/>
          <w:szCs w:val="16"/>
        </w:rPr>
        <w:t>f</w:t>
      </w:r>
      <w:r w:rsidR="00DE0577" w:rsidRPr="527A6024">
        <w:rPr>
          <w:b/>
          <w:bCs/>
          <w:sz w:val="16"/>
          <w:szCs w:val="16"/>
        </w:rPr>
        <w:t xml:space="preserve">ondos de fondos u otros vehículos mediante los cuales tenga una exposición a inversiones restringidas, el mecanismo debe permitir determinar la exposición </w:t>
      </w:r>
      <w:r w:rsidR="0C1D99E5" w:rsidRPr="527A6024">
        <w:rPr>
          <w:b/>
          <w:bCs/>
          <w:sz w:val="16"/>
          <w:szCs w:val="16"/>
        </w:rPr>
        <w:t>del fondo</w:t>
      </w:r>
      <w:r w:rsidR="00DE0577" w:rsidRPr="527A6024">
        <w:rPr>
          <w:b/>
          <w:bCs/>
          <w:sz w:val="16"/>
          <w:szCs w:val="16"/>
        </w:rPr>
        <w:t xml:space="preserve"> subyacente</w:t>
      </w:r>
      <w:r w:rsidR="0FC33D3D" w:rsidRPr="527A6024">
        <w:rPr>
          <w:b/>
          <w:bCs/>
          <w:sz w:val="16"/>
          <w:szCs w:val="16"/>
        </w:rPr>
        <w:t xml:space="preserve"> a estas inversiones</w:t>
      </w:r>
      <w:r w:rsidR="00DE0577" w:rsidRPr="527A6024">
        <w:rPr>
          <w:b/>
          <w:bCs/>
          <w:sz w:val="16"/>
          <w:szCs w:val="16"/>
        </w:rPr>
        <w:t xml:space="preserve">. En el caso que para el fondo subyacente no se cuente con información actualizada en los términos del subnumeral </w:t>
      </w:r>
      <w:r w:rsidR="00C16812" w:rsidRPr="527A6024">
        <w:rPr>
          <w:b/>
          <w:bCs/>
          <w:sz w:val="16"/>
          <w:szCs w:val="16"/>
        </w:rPr>
        <w:t>2.2.9</w:t>
      </w:r>
      <w:r w:rsidR="00DE0577" w:rsidRPr="527A6024">
        <w:rPr>
          <w:b/>
          <w:bCs/>
          <w:sz w:val="16"/>
          <w:szCs w:val="16"/>
        </w:rPr>
        <w:t>.1.1</w:t>
      </w:r>
      <w:r w:rsidR="005B5E0D" w:rsidRPr="527A6024">
        <w:rPr>
          <w:b/>
          <w:bCs/>
          <w:sz w:val="16"/>
          <w:szCs w:val="16"/>
        </w:rPr>
        <w:t>.1</w:t>
      </w:r>
      <w:r w:rsidR="00DE0577" w:rsidRPr="527A6024">
        <w:rPr>
          <w:b/>
          <w:bCs/>
          <w:sz w:val="16"/>
          <w:szCs w:val="16"/>
        </w:rPr>
        <w:t xml:space="preserve"> precedente, la </w:t>
      </w:r>
      <w:r w:rsidRPr="527A6024">
        <w:rPr>
          <w:b/>
          <w:bCs/>
          <w:sz w:val="16"/>
          <w:szCs w:val="16"/>
        </w:rPr>
        <w:t>entidad aseguradora</w:t>
      </w:r>
      <w:r w:rsidR="00DE0577" w:rsidRPr="527A6024">
        <w:rPr>
          <w:b/>
          <w:bCs/>
          <w:sz w:val="16"/>
          <w:szCs w:val="16"/>
        </w:rPr>
        <w:t xml:space="preserve"> </w:t>
      </w:r>
      <w:r w:rsidR="000F4DD0">
        <w:rPr>
          <w:b/>
          <w:bCs/>
          <w:sz w:val="16"/>
          <w:szCs w:val="16"/>
        </w:rPr>
        <w:t xml:space="preserve">de vida </w:t>
      </w:r>
      <w:r w:rsidR="00DE0577" w:rsidRPr="527A6024">
        <w:rPr>
          <w:b/>
          <w:bCs/>
          <w:sz w:val="16"/>
          <w:szCs w:val="16"/>
        </w:rPr>
        <w:t>debe tomar la máxima exposición permitida en este tipo de inversiones, según la política de inversión establecida en el reglamento</w:t>
      </w:r>
      <w:r w:rsidR="0009313D" w:rsidRPr="527A6024">
        <w:rPr>
          <w:b/>
          <w:bCs/>
          <w:sz w:val="16"/>
          <w:szCs w:val="16"/>
        </w:rPr>
        <w:t>.</w:t>
      </w:r>
    </w:p>
    <w:p w14:paraId="2EBABB3F" w14:textId="77777777" w:rsidR="00DE0577" w:rsidRPr="00BF4ADD" w:rsidRDefault="00DE0577" w:rsidP="7DE704E8">
      <w:pPr>
        <w:pBdr>
          <w:left w:val="single" w:sz="4" w:space="4" w:color="auto"/>
        </w:pBdr>
        <w:jc w:val="both"/>
        <w:rPr>
          <w:b/>
          <w:bCs/>
          <w:sz w:val="16"/>
          <w:szCs w:val="16"/>
        </w:rPr>
      </w:pPr>
    </w:p>
    <w:p w14:paraId="69E113FF" w14:textId="7A9DB22F" w:rsidR="0009313D" w:rsidRDefault="00DE0577" w:rsidP="7DE704E8">
      <w:pPr>
        <w:pBdr>
          <w:left w:val="single" w:sz="4" w:space="4" w:color="auto"/>
        </w:pBdr>
        <w:jc w:val="both"/>
        <w:rPr>
          <w:b/>
          <w:bCs/>
          <w:sz w:val="16"/>
          <w:szCs w:val="16"/>
        </w:rPr>
      </w:pPr>
      <w:r w:rsidRPr="527A6024">
        <w:rPr>
          <w:b/>
          <w:bCs/>
          <w:sz w:val="16"/>
          <w:szCs w:val="16"/>
        </w:rPr>
        <w:t xml:space="preserve">En la determinación de la exposición real subyacente al tipo de </w:t>
      </w:r>
      <w:r w:rsidR="007E5824" w:rsidRPr="527A6024">
        <w:rPr>
          <w:b/>
          <w:bCs/>
          <w:sz w:val="16"/>
          <w:szCs w:val="16"/>
        </w:rPr>
        <w:t>f</w:t>
      </w:r>
      <w:r w:rsidRPr="527A6024">
        <w:rPr>
          <w:b/>
          <w:bCs/>
          <w:sz w:val="16"/>
          <w:szCs w:val="16"/>
        </w:rPr>
        <w:t xml:space="preserve">ondo, el mecanismo debe definir el número de iteraciones necesarias para medir la exposición de la </w:t>
      </w:r>
      <w:r w:rsidR="00E97E26" w:rsidRPr="527A6024">
        <w:rPr>
          <w:b/>
          <w:bCs/>
          <w:sz w:val="16"/>
          <w:szCs w:val="16"/>
        </w:rPr>
        <w:t>entidad aseguradora</w:t>
      </w:r>
      <w:r w:rsidR="000F4DD0">
        <w:rPr>
          <w:b/>
          <w:bCs/>
          <w:sz w:val="16"/>
          <w:szCs w:val="16"/>
        </w:rPr>
        <w:t xml:space="preserve"> de vida</w:t>
      </w:r>
      <w:r w:rsidRPr="527A6024">
        <w:rPr>
          <w:b/>
          <w:bCs/>
          <w:sz w:val="16"/>
          <w:szCs w:val="16"/>
        </w:rPr>
        <w:t xml:space="preserve"> a activos considerados como inversiones restringidas. </w:t>
      </w:r>
    </w:p>
    <w:p w14:paraId="0EC9BFC5" w14:textId="6CCEA46F" w:rsidR="000F4DD0" w:rsidRDefault="000F4DD0" w:rsidP="7DE704E8">
      <w:pPr>
        <w:pBdr>
          <w:left w:val="single" w:sz="4" w:space="4" w:color="auto"/>
        </w:pBdr>
        <w:jc w:val="both"/>
        <w:rPr>
          <w:b/>
          <w:bCs/>
          <w:sz w:val="16"/>
          <w:szCs w:val="16"/>
        </w:rPr>
      </w:pPr>
    </w:p>
    <w:p w14:paraId="4E87152F" w14:textId="60A10F93" w:rsidR="000F4DD0" w:rsidRDefault="000F4DD0" w:rsidP="7DE704E8">
      <w:pPr>
        <w:pBdr>
          <w:left w:val="single" w:sz="4" w:space="4" w:color="auto"/>
        </w:pBdr>
        <w:jc w:val="both"/>
        <w:rPr>
          <w:b/>
          <w:bCs/>
          <w:sz w:val="16"/>
          <w:szCs w:val="16"/>
        </w:rPr>
      </w:pPr>
      <w:r>
        <w:rPr>
          <w:b/>
          <w:bCs/>
          <w:sz w:val="16"/>
          <w:szCs w:val="16"/>
        </w:rPr>
        <w:t xml:space="preserve">2.2.9.2. </w:t>
      </w:r>
      <w:r w:rsidRPr="7DE704E8">
        <w:rPr>
          <w:b/>
          <w:bCs/>
          <w:sz w:val="16"/>
          <w:szCs w:val="16"/>
        </w:rPr>
        <w:t xml:space="preserve">Control de los límites de inversiones </w:t>
      </w:r>
      <w:r>
        <w:rPr>
          <w:b/>
          <w:bCs/>
          <w:sz w:val="16"/>
          <w:szCs w:val="16"/>
        </w:rPr>
        <w:t>en activos alternativos</w:t>
      </w:r>
    </w:p>
    <w:p w14:paraId="1DDF633B" w14:textId="1DEE8655" w:rsidR="000F4DD0" w:rsidRDefault="000F4DD0" w:rsidP="7DE704E8">
      <w:pPr>
        <w:pBdr>
          <w:left w:val="single" w:sz="4" w:space="4" w:color="auto"/>
        </w:pBdr>
        <w:jc w:val="both"/>
        <w:rPr>
          <w:b/>
          <w:bCs/>
          <w:sz w:val="16"/>
          <w:szCs w:val="16"/>
        </w:rPr>
      </w:pPr>
    </w:p>
    <w:p w14:paraId="05A569D3" w14:textId="25817FFC" w:rsidR="000F4DD0" w:rsidRDefault="000F4DD0" w:rsidP="000F4DD0">
      <w:pPr>
        <w:pBdr>
          <w:left w:val="single" w:sz="4" w:space="4" w:color="auto"/>
        </w:pBdr>
        <w:jc w:val="both"/>
        <w:rPr>
          <w:b/>
          <w:bCs/>
          <w:sz w:val="16"/>
          <w:szCs w:val="16"/>
        </w:rPr>
      </w:pPr>
      <w:bookmarkStart w:id="0" w:name="_Hlk67418080"/>
      <w:r w:rsidRPr="7DE704E8">
        <w:rPr>
          <w:b/>
          <w:bCs/>
          <w:sz w:val="16"/>
          <w:szCs w:val="16"/>
        </w:rPr>
        <w:t>Para el cumplimiento de los límites establecidos para las inversiones que respaldan las reservas técnicas de que trata</w:t>
      </w:r>
      <w:r>
        <w:rPr>
          <w:b/>
          <w:bCs/>
          <w:sz w:val="16"/>
          <w:szCs w:val="16"/>
        </w:rPr>
        <w:t>n</w:t>
      </w:r>
      <w:r w:rsidRPr="7DE704E8">
        <w:rPr>
          <w:b/>
          <w:bCs/>
          <w:sz w:val="16"/>
          <w:szCs w:val="16"/>
        </w:rPr>
        <w:t xml:space="preserve"> </w:t>
      </w:r>
      <w:r>
        <w:rPr>
          <w:b/>
          <w:bCs/>
          <w:sz w:val="16"/>
          <w:szCs w:val="16"/>
        </w:rPr>
        <w:t>los</w:t>
      </w:r>
      <w:r w:rsidRPr="7DE704E8">
        <w:rPr>
          <w:b/>
          <w:bCs/>
          <w:sz w:val="16"/>
          <w:szCs w:val="16"/>
        </w:rPr>
        <w:t xml:space="preserve"> artículo</w:t>
      </w:r>
      <w:r>
        <w:rPr>
          <w:b/>
          <w:bCs/>
          <w:sz w:val="16"/>
          <w:szCs w:val="16"/>
        </w:rPr>
        <w:t>s</w:t>
      </w:r>
      <w:r w:rsidRPr="7DE704E8">
        <w:rPr>
          <w:b/>
          <w:bCs/>
          <w:sz w:val="16"/>
          <w:szCs w:val="16"/>
        </w:rPr>
        <w:t xml:space="preserve"> 2.31.3.1.4</w:t>
      </w:r>
      <w:r>
        <w:rPr>
          <w:b/>
          <w:bCs/>
          <w:sz w:val="16"/>
          <w:szCs w:val="16"/>
        </w:rPr>
        <w:t xml:space="preserve"> y 2.31.3.1.5</w:t>
      </w:r>
      <w:r w:rsidRPr="7DE704E8">
        <w:rPr>
          <w:b/>
          <w:bCs/>
          <w:sz w:val="16"/>
          <w:szCs w:val="16"/>
        </w:rPr>
        <w:t xml:space="preserve"> del Decreto 2555 de 2010</w:t>
      </w:r>
      <w:r w:rsidR="00A26B34">
        <w:rPr>
          <w:b/>
          <w:bCs/>
          <w:sz w:val="16"/>
          <w:szCs w:val="16"/>
        </w:rPr>
        <w:t xml:space="preserve"> </w:t>
      </w:r>
      <w:r w:rsidR="00A26B34">
        <w:rPr>
          <w:rFonts w:cs="Arial"/>
          <w:b/>
          <w:sz w:val="16"/>
          <w:szCs w:val="16"/>
          <w:lang w:val="es-CO"/>
        </w:rPr>
        <w:t>u otras disposiciones</w:t>
      </w:r>
      <w:r w:rsidRPr="7DE704E8">
        <w:rPr>
          <w:b/>
          <w:bCs/>
          <w:sz w:val="16"/>
          <w:szCs w:val="16"/>
        </w:rPr>
        <w:t>, las entidades aseguradoras</w:t>
      </w:r>
      <w:r>
        <w:rPr>
          <w:b/>
          <w:bCs/>
          <w:sz w:val="16"/>
          <w:szCs w:val="16"/>
        </w:rPr>
        <w:t xml:space="preserve"> </w:t>
      </w:r>
      <w:r w:rsidRPr="7DE704E8">
        <w:rPr>
          <w:b/>
          <w:bCs/>
          <w:sz w:val="16"/>
          <w:szCs w:val="16"/>
        </w:rPr>
        <w:t xml:space="preserve">deben mantener actualizada la información respecto de la exposición de los vehículos de inversión </w:t>
      </w:r>
      <w:r w:rsidR="00135808">
        <w:rPr>
          <w:b/>
          <w:bCs/>
          <w:sz w:val="16"/>
          <w:szCs w:val="16"/>
        </w:rPr>
        <w:t>en</w:t>
      </w:r>
      <w:r w:rsidRPr="7DE704E8">
        <w:rPr>
          <w:b/>
          <w:bCs/>
          <w:sz w:val="16"/>
          <w:szCs w:val="16"/>
        </w:rPr>
        <w:t xml:space="preserve"> activos considerados como </w:t>
      </w:r>
      <w:r>
        <w:rPr>
          <w:b/>
          <w:bCs/>
          <w:sz w:val="16"/>
          <w:szCs w:val="16"/>
        </w:rPr>
        <w:t>alternativos</w:t>
      </w:r>
      <w:r w:rsidRPr="7DE704E8">
        <w:rPr>
          <w:b/>
          <w:bCs/>
          <w:sz w:val="16"/>
          <w:szCs w:val="16"/>
        </w:rPr>
        <w:t>.</w:t>
      </w:r>
    </w:p>
    <w:p w14:paraId="24EA4F2B" w14:textId="4BEBFB50" w:rsidR="000F4DD0" w:rsidRDefault="000F4DD0" w:rsidP="000F4DD0">
      <w:pPr>
        <w:pBdr>
          <w:left w:val="single" w:sz="4" w:space="4" w:color="auto"/>
        </w:pBdr>
        <w:jc w:val="both"/>
        <w:rPr>
          <w:b/>
          <w:bCs/>
          <w:sz w:val="16"/>
          <w:szCs w:val="16"/>
        </w:rPr>
      </w:pPr>
    </w:p>
    <w:p w14:paraId="41577F46" w14:textId="2A8B6656" w:rsidR="000F4DD0" w:rsidRPr="000F4DD0" w:rsidRDefault="000F4DD0" w:rsidP="7DE704E8">
      <w:pPr>
        <w:pBdr>
          <w:left w:val="single" w:sz="4" w:space="4" w:color="auto"/>
        </w:pBdr>
        <w:jc w:val="both"/>
        <w:rPr>
          <w:b/>
          <w:bCs/>
          <w:sz w:val="16"/>
          <w:szCs w:val="16"/>
        </w:rPr>
      </w:pPr>
      <w:r>
        <w:rPr>
          <w:b/>
          <w:bCs/>
          <w:sz w:val="16"/>
          <w:szCs w:val="16"/>
        </w:rPr>
        <w:t xml:space="preserve">En la determinación de la exposición </w:t>
      </w:r>
      <w:r w:rsidR="006B6D26">
        <w:rPr>
          <w:b/>
          <w:bCs/>
          <w:sz w:val="16"/>
          <w:szCs w:val="16"/>
        </w:rPr>
        <w:t>en</w:t>
      </w:r>
      <w:r>
        <w:rPr>
          <w:b/>
          <w:bCs/>
          <w:sz w:val="16"/>
          <w:szCs w:val="16"/>
        </w:rPr>
        <w:t xml:space="preserve"> activos alternativos</w:t>
      </w:r>
      <w:r w:rsidRPr="000F4DD0">
        <w:rPr>
          <w:b/>
          <w:bCs/>
          <w:sz w:val="16"/>
          <w:szCs w:val="16"/>
        </w:rPr>
        <w:t xml:space="preserve"> </w:t>
      </w:r>
      <w:r w:rsidRPr="527A6024">
        <w:rPr>
          <w:b/>
          <w:bCs/>
          <w:sz w:val="16"/>
          <w:szCs w:val="16"/>
        </w:rPr>
        <w:t>realizadas a través de fondos de fondos u otros vehículos de inversión</w:t>
      </w:r>
      <w:r>
        <w:rPr>
          <w:b/>
          <w:bCs/>
          <w:sz w:val="16"/>
          <w:szCs w:val="16"/>
        </w:rPr>
        <w:t>, las entidades aseguradoras</w:t>
      </w:r>
      <w:r w:rsidRPr="000F4DD0">
        <w:rPr>
          <w:b/>
          <w:bCs/>
          <w:sz w:val="16"/>
          <w:szCs w:val="16"/>
        </w:rPr>
        <w:t xml:space="preserve"> </w:t>
      </w:r>
      <w:r>
        <w:rPr>
          <w:b/>
          <w:bCs/>
          <w:sz w:val="16"/>
          <w:szCs w:val="16"/>
        </w:rPr>
        <w:t xml:space="preserve">deben implementar un </w:t>
      </w:r>
      <w:r w:rsidRPr="527A6024">
        <w:rPr>
          <w:b/>
          <w:bCs/>
          <w:sz w:val="16"/>
          <w:szCs w:val="16"/>
        </w:rPr>
        <w:t xml:space="preserve">mecanismo </w:t>
      </w:r>
      <w:r>
        <w:rPr>
          <w:b/>
          <w:bCs/>
          <w:sz w:val="16"/>
          <w:szCs w:val="16"/>
        </w:rPr>
        <w:t xml:space="preserve">que les permita </w:t>
      </w:r>
      <w:r w:rsidRPr="527A6024">
        <w:rPr>
          <w:b/>
          <w:bCs/>
          <w:sz w:val="16"/>
          <w:szCs w:val="16"/>
        </w:rPr>
        <w:t>determinar la exposición del fondo subyacente a estas inversiones. En el caso que para el fondo subyacente no se cuente con información actualizada en los términos del subnumeral 2.2.9.1.1.1 precedente, la entidad aseguradora debe tomar la máxima exposición permitida en este tipo de inversiones, según la política de inversión establecida en el reglamento</w:t>
      </w:r>
      <w:r>
        <w:rPr>
          <w:b/>
          <w:bCs/>
          <w:sz w:val="16"/>
          <w:szCs w:val="16"/>
        </w:rPr>
        <w:t xml:space="preserve">. </w:t>
      </w:r>
      <w:r w:rsidRPr="527A6024">
        <w:rPr>
          <w:b/>
          <w:bCs/>
          <w:sz w:val="16"/>
          <w:szCs w:val="16"/>
        </w:rPr>
        <w:t>En la determinación de la exposición</w:t>
      </w:r>
      <w:r>
        <w:rPr>
          <w:b/>
          <w:bCs/>
          <w:sz w:val="16"/>
          <w:szCs w:val="16"/>
        </w:rPr>
        <w:t xml:space="preserve"> subyacente</w:t>
      </w:r>
      <w:r w:rsidRPr="527A6024">
        <w:rPr>
          <w:b/>
          <w:bCs/>
          <w:sz w:val="16"/>
          <w:szCs w:val="16"/>
        </w:rPr>
        <w:t xml:space="preserve"> </w:t>
      </w:r>
      <w:r w:rsidR="006B6D26">
        <w:rPr>
          <w:b/>
          <w:bCs/>
          <w:sz w:val="16"/>
          <w:szCs w:val="16"/>
        </w:rPr>
        <w:t>en</w:t>
      </w:r>
      <w:r>
        <w:rPr>
          <w:b/>
          <w:bCs/>
          <w:sz w:val="16"/>
          <w:szCs w:val="16"/>
        </w:rPr>
        <w:t xml:space="preserve"> activos alternativos</w:t>
      </w:r>
      <w:r w:rsidRPr="527A6024">
        <w:rPr>
          <w:b/>
          <w:bCs/>
          <w:sz w:val="16"/>
          <w:szCs w:val="16"/>
        </w:rPr>
        <w:t xml:space="preserve">, el mecanismo debe definir el número de iteraciones necesarias para </w:t>
      </w:r>
      <w:r>
        <w:rPr>
          <w:b/>
          <w:bCs/>
          <w:sz w:val="16"/>
          <w:szCs w:val="16"/>
        </w:rPr>
        <w:t>la medición de</w:t>
      </w:r>
      <w:r w:rsidRPr="527A6024">
        <w:rPr>
          <w:b/>
          <w:bCs/>
          <w:sz w:val="16"/>
          <w:szCs w:val="16"/>
        </w:rPr>
        <w:t xml:space="preserve"> la exposición de la entidad aseguradora. </w:t>
      </w:r>
      <w:bookmarkEnd w:id="0"/>
    </w:p>
    <w:p w14:paraId="49D482DE" w14:textId="77777777" w:rsidR="00E97E26" w:rsidRDefault="00E97E26" w:rsidP="00BE660C">
      <w:pPr>
        <w:pStyle w:val="Prrafodelista"/>
        <w:ind w:left="0"/>
        <w:jc w:val="both"/>
        <w:rPr>
          <w:rFonts w:cs="Arial"/>
          <w:b/>
          <w:sz w:val="16"/>
          <w:szCs w:val="16"/>
        </w:rPr>
      </w:pPr>
    </w:p>
    <w:p w14:paraId="2D26FCCF" w14:textId="1780E070" w:rsidR="000506D4" w:rsidRPr="00CD186B" w:rsidRDefault="000506D4" w:rsidP="00BE660C">
      <w:pPr>
        <w:pStyle w:val="Prrafodelista"/>
        <w:ind w:left="0"/>
        <w:jc w:val="both"/>
        <w:rPr>
          <w:rFonts w:cs="Arial"/>
          <w:b/>
          <w:sz w:val="16"/>
          <w:szCs w:val="16"/>
        </w:rPr>
      </w:pPr>
      <w:r w:rsidRPr="00CD186B">
        <w:rPr>
          <w:rFonts w:cs="Arial"/>
          <w:b/>
          <w:sz w:val="16"/>
          <w:szCs w:val="16"/>
        </w:rPr>
        <w:t xml:space="preserve">2.3. Asignación de ingresos y egresos por ramo </w:t>
      </w:r>
    </w:p>
    <w:p w14:paraId="4BBD6CFC" w14:textId="77777777" w:rsidR="000506D4" w:rsidRPr="00CD186B" w:rsidRDefault="000506D4" w:rsidP="00BE660C">
      <w:pPr>
        <w:pStyle w:val="Prrafodelista"/>
        <w:ind w:left="0"/>
        <w:jc w:val="both"/>
        <w:rPr>
          <w:rFonts w:cs="Arial"/>
          <w:b/>
          <w:sz w:val="16"/>
          <w:szCs w:val="16"/>
        </w:rPr>
      </w:pPr>
    </w:p>
    <w:p w14:paraId="3D0AECF1" w14:textId="77777777"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2.3.1. Definiciones</w:t>
      </w:r>
    </w:p>
    <w:p w14:paraId="6730BAE1" w14:textId="77777777" w:rsidR="000506D4" w:rsidRPr="00CD186B" w:rsidRDefault="000506D4" w:rsidP="00BE660C">
      <w:pPr>
        <w:tabs>
          <w:tab w:val="left" w:pos="720"/>
          <w:tab w:val="left" w:pos="1064"/>
          <w:tab w:val="left" w:pos="2057"/>
        </w:tabs>
        <w:ind w:right="49"/>
        <w:jc w:val="both"/>
        <w:rPr>
          <w:rFonts w:cs="Arial"/>
          <w:b/>
          <w:sz w:val="16"/>
          <w:szCs w:val="16"/>
        </w:rPr>
      </w:pPr>
    </w:p>
    <w:p w14:paraId="537E4811" w14:textId="77777777"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Para los efectos de este capítulo, se tendrán en cuenta las siguientes definiciones:</w:t>
      </w:r>
    </w:p>
    <w:p w14:paraId="2E9F9775" w14:textId="77777777" w:rsidR="000506D4" w:rsidRPr="00CD186B" w:rsidRDefault="000506D4" w:rsidP="00BE660C">
      <w:pPr>
        <w:tabs>
          <w:tab w:val="left" w:pos="720"/>
          <w:tab w:val="left" w:pos="1064"/>
          <w:tab w:val="left" w:pos="2057"/>
        </w:tabs>
        <w:ind w:right="49"/>
        <w:jc w:val="both"/>
        <w:rPr>
          <w:rFonts w:cs="Arial"/>
          <w:sz w:val="16"/>
          <w:szCs w:val="16"/>
        </w:rPr>
      </w:pPr>
    </w:p>
    <w:p w14:paraId="3B8230D5" w14:textId="77777777"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2.3.1.1. Ingresos y egresos asignables: Aquéllos que estén asociados al resultado técnico de los ramos o a los activos que respaldan las reservas técnicas. Éstos se clasifican en directos e indirectos.</w:t>
      </w:r>
    </w:p>
    <w:p w14:paraId="0C98203E" w14:textId="77777777" w:rsidR="000506D4" w:rsidRPr="00CD186B" w:rsidRDefault="000506D4" w:rsidP="00BE660C">
      <w:pPr>
        <w:tabs>
          <w:tab w:val="left" w:pos="720"/>
          <w:tab w:val="left" w:pos="1064"/>
          <w:tab w:val="left" w:pos="2057"/>
        </w:tabs>
        <w:ind w:right="49"/>
        <w:jc w:val="both"/>
        <w:rPr>
          <w:rFonts w:cs="Arial"/>
          <w:sz w:val="16"/>
          <w:szCs w:val="16"/>
        </w:rPr>
      </w:pPr>
    </w:p>
    <w:p w14:paraId="43199B3A" w14:textId="77777777"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2.3.1.2. Ingresos y egresos no asignables: Aquéllos que no estén relacionados con el resultado técnico o a los activos que respaldan las reservas técnicas de los ramos operados por la entidad aseguradora, tales como multas, sanciones administrativas e indemnizaciones no atadas a las pólizas expedidas por la entidad aseguradora.</w:t>
      </w:r>
    </w:p>
    <w:p w14:paraId="4864DC75" w14:textId="77777777" w:rsidR="000506D4" w:rsidRPr="00CD186B" w:rsidRDefault="000506D4" w:rsidP="00BE660C">
      <w:pPr>
        <w:tabs>
          <w:tab w:val="left" w:pos="720"/>
          <w:tab w:val="left" w:pos="1064"/>
          <w:tab w:val="left" w:pos="2057"/>
        </w:tabs>
        <w:ind w:right="49"/>
        <w:jc w:val="both"/>
        <w:rPr>
          <w:rFonts w:cs="Arial"/>
          <w:sz w:val="16"/>
          <w:szCs w:val="16"/>
        </w:rPr>
      </w:pPr>
    </w:p>
    <w:p w14:paraId="606A4CEB" w14:textId="77777777"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2.3.1.3. Ingresos y egresos asignables directos: Aquéllos que se encuentran relacionados de manera específica con los procesos de desarrollo, comercialización, administración y recaudo de los productos asociados a un ramo determinado, así como aquéllos derivados de los activos que respaldan las reservas técnicas de cada ramo.</w:t>
      </w:r>
    </w:p>
    <w:p w14:paraId="6915BA18" w14:textId="77777777" w:rsidR="000506D4" w:rsidRPr="00CD186B" w:rsidRDefault="000506D4" w:rsidP="00BE660C">
      <w:pPr>
        <w:tabs>
          <w:tab w:val="left" w:pos="720"/>
          <w:tab w:val="left" w:pos="1064"/>
          <w:tab w:val="left" w:pos="2057"/>
        </w:tabs>
        <w:ind w:right="49"/>
        <w:jc w:val="both"/>
        <w:rPr>
          <w:rFonts w:cs="Arial"/>
          <w:sz w:val="16"/>
          <w:szCs w:val="16"/>
        </w:rPr>
      </w:pPr>
    </w:p>
    <w:p w14:paraId="01912C0D" w14:textId="77777777"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2.3.1.4. Ingresos y egresos asignables indirectos: Corresponden a ingresos o egresos asignables, los cuales no pueden ser asociados a un ramo específico, por lo cual deben ser distribuidos entre todos los ramos que opere.</w:t>
      </w:r>
    </w:p>
    <w:p w14:paraId="39538F78" w14:textId="77777777" w:rsidR="000506D4" w:rsidRPr="00CD186B" w:rsidRDefault="000506D4" w:rsidP="00BE660C">
      <w:pPr>
        <w:tabs>
          <w:tab w:val="left" w:pos="720"/>
          <w:tab w:val="left" w:pos="1064"/>
          <w:tab w:val="left" w:pos="2057"/>
        </w:tabs>
        <w:ind w:right="49"/>
        <w:jc w:val="both"/>
        <w:rPr>
          <w:rFonts w:cs="Arial"/>
          <w:sz w:val="16"/>
          <w:szCs w:val="16"/>
        </w:rPr>
      </w:pPr>
    </w:p>
    <w:p w14:paraId="55B3B088" w14:textId="77777777"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2.3.2. Deber de asignación de ingresos y egresos indirectos por ramo</w:t>
      </w:r>
    </w:p>
    <w:p w14:paraId="698830B6" w14:textId="77777777" w:rsidR="000506D4" w:rsidRPr="00CD186B" w:rsidRDefault="000506D4" w:rsidP="00BE660C">
      <w:pPr>
        <w:tabs>
          <w:tab w:val="left" w:pos="720"/>
          <w:tab w:val="left" w:pos="1064"/>
          <w:tab w:val="left" w:pos="2057"/>
        </w:tabs>
        <w:ind w:right="49"/>
        <w:jc w:val="both"/>
        <w:rPr>
          <w:rFonts w:cs="Arial"/>
          <w:sz w:val="16"/>
          <w:szCs w:val="16"/>
        </w:rPr>
      </w:pPr>
    </w:p>
    <w:p w14:paraId="28C1B81F" w14:textId="77777777"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Para efectos del cálculo de las reservas técnicas y para que la información transmitida en los distintos reportes corresponda con la realidad financiera de la operación de los ramos de seguros, las entidades aseguradoras deben distribuir la totalidad de los ingresos y egresos entre los distintos ramos.</w:t>
      </w:r>
    </w:p>
    <w:p w14:paraId="2AC1365C" w14:textId="77777777" w:rsidR="000506D4" w:rsidRPr="00CD186B" w:rsidRDefault="000506D4" w:rsidP="00BE660C">
      <w:pPr>
        <w:tabs>
          <w:tab w:val="left" w:pos="720"/>
          <w:tab w:val="left" w:pos="1064"/>
          <w:tab w:val="left" w:pos="2057"/>
        </w:tabs>
        <w:ind w:right="49"/>
        <w:jc w:val="both"/>
        <w:rPr>
          <w:rFonts w:cs="Arial"/>
          <w:sz w:val="16"/>
          <w:szCs w:val="16"/>
        </w:rPr>
      </w:pPr>
    </w:p>
    <w:p w14:paraId="514F2AA2" w14:textId="77777777"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Para aquellos ingresos y egresos asignables directos, su distribución debe corresponder con el ramo asociado. En el caso de ingresos y egresos asignables</w:t>
      </w:r>
      <w:r w:rsidRPr="00CD186B" w:rsidDel="000011E9">
        <w:rPr>
          <w:rFonts w:cs="Arial"/>
          <w:sz w:val="16"/>
          <w:szCs w:val="16"/>
        </w:rPr>
        <w:t xml:space="preserve"> </w:t>
      </w:r>
      <w:r w:rsidRPr="00CD186B">
        <w:rPr>
          <w:rFonts w:cs="Arial"/>
          <w:sz w:val="16"/>
          <w:szCs w:val="16"/>
        </w:rPr>
        <w:t>indirectos, la entidad aseguradora debe distribuirlos entre los diferentes ramos que opera, con base en una metodología propia o la metodología estándar atendiendo a lo establecido en el subnumeral 2.3.3 de este capítulo, según corresponda.</w:t>
      </w:r>
    </w:p>
    <w:p w14:paraId="65236011" w14:textId="77777777" w:rsidR="000506D4" w:rsidRPr="00CD186B" w:rsidRDefault="000506D4" w:rsidP="00BE660C">
      <w:pPr>
        <w:tabs>
          <w:tab w:val="left" w:pos="720"/>
          <w:tab w:val="left" w:pos="1064"/>
          <w:tab w:val="left" w:pos="2057"/>
        </w:tabs>
        <w:ind w:right="49"/>
        <w:jc w:val="both"/>
        <w:rPr>
          <w:rFonts w:cs="Arial"/>
          <w:sz w:val="16"/>
          <w:szCs w:val="16"/>
        </w:rPr>
      </w:pPr>
    </w:p>
    <w:p w14:paraId="19295680" w14:textId="77777777"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2.3.3. Metodologías aplicables</w:t>
      </w:r>
    </w:p>
    <w:p w14:paraId="61E83CAC" w14:textId="77777777" w:rsidR="000506D4" w:rsidRPr="00CD186B" w:rsidRDefault="000506D4" w:rsidP="00BE660C">
      <w:pPr>
        <w:tabs>
          <w:tab w:val="left" w:pos="720"/>
          <w:tab w:val="left" w:pos="1064"/>
          <w:tab w:val="left" w:pos="2057"/>
        </w:tabs>
        <w:ind w:right="49"/>
        <w:jc w:val="both"/>
        <w:rPr>
          <w:rFonts w:cs="Arial"/>
          <w:sz w:val="16"/>
          <w:szCs w:val="16"/>
        </w:rPr>
      </w:pPr>
    </w:p>
    <w:p w14:paraId="256C79F6" w14:textId="77777777"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2.3.3.1. Metodología Propia</w:t>
      </w:r>
    </w:p>
    <w:p w14:paraId="4D8FA649" w14:textId="77777777" w:rsidR="000506D4" w:rsidRPr="00CD186B" w:rsidRDefault="000506D4" w:rsidP="00BE660C">
      <w:pPr>
        <w:tabs>
          <w:tab w:val="left" w:pos="720"/>
          <w:tab w:val="left" w:pos="1064"/>
          <w:tab w:val="left" w:pos="2057"/>
        </w:tabs>
        <w:ind w:right="49"/>
        <w:jc w:val="both"/>
        <w:rPr>
          <w:rFonts w:cs="Arial"/>
          <w:sz w:val="16"/>
          <w:szCs w:val="16"/>
        </w:rPr>
      </w:pPr>
    </w:p>
    <w:p w14:paraId="1AEB2925" w14:textId="77777777"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 xml:space="preserve">Las entidades aseguradoras pueden aplicar una metodología de distribución de ingresos y egresos asignables indirectos que se adapte a su modelo de negocio. </w:t>
      </w:r>
    </w:p>
    <w:p w14:paraId="4A963620" w14:textId="77777777" w:rsidR="000506D4" w:rsidRPr="00CD186B" w:rsidRDefault="000506D4" w:rsidP="00BE660C">
      <w:pPr>
        <w:tabs>
          <w:tab w:val="left" w:pos="720"/>
          <w:tab w:val="left" w:pos="1064"/>
          <w:tab w:val="left" w:pos="2057"/>
        </w:tabs>
        <w:ind w:right="49"/>
        <w:jc w:val="both"/>
        <w:rPr>
          <w:rFonts w:cs="Arial"/>
          <w:sz w:val="16"/>
          <w:szCs w:val="16"/>
        </w:rPr>
      </w:pPr>
    </w:p>
    <w:p w14:paraId="7FA7409D" w14:textId="77777777"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En el evento en que la entidad aseguradora se acoja a una metodología propia, ésta debe ser aprobada por su junta directiva y cumplir con los siguientes criterios para la distribución de los ingresos y egresos asignables indirectos:</w:t>
      </w:r>
    </w:p>
    <w:p w14:paraId="4E66C2D1" w14:textId="77777777" w:rsidR="000506D4" w:rsidRPr="00CD186B" w:rsidRDefault="000506D4" w:rsidP="00BE660C">
      <w:pPr>
        <w:tabs>
          <w:tab w:val="left" w:pos="720"/>
          <w:tab w:val="left" w:pos="1064"/>
          <w:tab w:val="left" w:pos="2057"/>
        </w:tabs>
        <w:ind w:right="49"/>
        <w:jc w:val="both"/>
        <w:rPr>
          <w:rFonts w:cs="Arial"/>
          <w:sz w:val="16"/>
          <w:szCs w:val="16"/>
        </w:rPr>
      </w:pPr>
    </w:p>
    <w:p w14:paraId="574CA876" w14:textId="77777777"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2.3.3.1.1. Ser coherente y consistente con su estructura de negocio y con las notas técnicas de sus productos.</w:t>
      </w:r>
    </w:p>
    <w:p w14:paraId="32E79D38" w14:textId="77777777"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2.3.3.1.2. Ser aplicable a todos los ramos sin excepción alguna.</w:t>
      </w:r>
    </w:p>
    <w:p w14:paraId="7A874BD3" w14:textId="77777777"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2.3.3.1.3. Ser coherente con lo establecido en las notas de los estados financieros de fin de ejercicio.</w:t>
      </w:r>
    </w:p>
    <w:p w14:paraId="3374DFBB" w14:textId="77777777"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 xml:space="preserve">2.3.3.1.4. Ser la misma utilizada en la elaboración y presentación de formatos de revelación de información. </w:t>
      </w:r>
    </w:p>
    <w:p w14:paraId="25B7C900" w14:textId="77777777" w:rsidR="000506D4" w:rsidRPr="00CD186B" w:rsidRDefault="000506D4" w:rsidP="00BE660C">
      <w:pPr>
        <w:tabs>
          <w:tab w:val="left" w:pos="720"/>
          <w:tab w:val="left" w:pos="1064"/>
          <w:tab w:val="left" w:pos="2057"/>
        </w:tabs>
        <w:ind w:right="49"/>
        <w:jc w:val="both"/>
        <w:rPr>
          <w:rFonts w:cs="Arial"/>
          <w:sz w:val="16"/>
          <w:szCs w:val="16"/>
        </w:rPr>
      </w:pPr>
    </w:p>
    <w:p w14:paraId="16A6C418" w14:textId="77777777"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Las entidades aseguradoras deben remitir a la SFC el documento técnico que contenga las características de la Metodología Propia. Es deber de las entidades aseguradoras informar y justificar las modificaciones hechas a dicha metodología, actualizar y mantener a disposición de la SFC la documentación correspondiente. En el evento en que se efectúen modificaciones a la Metodología Propia, éstas serán aplicables únicamente a partir del siguiente año fiscal. La SFC puede exigir en cualquier momento a las entidades aseguradoras la adopción de la Metodología Estándar, establecida en el subnumeral 2.3.3.2 de este capítulo.</w:t>
      </w:r>
    </w:p>
    <w:p w14:paraId="16BD7DF3" w14:textId="77777777" w:rsidR="000506D4" w:rsidRDefault="000506D4" w:rsidP="00BE660C">
      <w:pPr>
        <w:tabs>
          <w:tab w:val="left" w:pos="720"/>
          <w:tab w:val="left" w:pos="1064"/>
          <w:tab w:val="left" w:pos="2057"/>
        </w:tabs>
        <w:ind w:right="49"/>
        <w:jc w:val="both"/>
        <w:rPr>
          <w:rFonts w:cs="Arial"/>
          <w:sz w:val="16"/>
          <w:szCs w:val="16"/>
        </w:rPr>
      </w:pPr>
    </w:p>
    <w:p w14:paraId="7E9593B6" w14:textId="77777777" w:rsidR="000506D4" w:rsidRPr="00866976" w:rsidRDefault="000506D4" w:rsidP="00BE660C">
      <w:pPr>
        <w:tabs>
          <w:tab w:val="left" w:pos="720"/>
          <w:tab w:val="left" w:pos="1064"/>
          <w:tab w:val="left" w:pos="2057"/>
        </w:tabs>
        <w:ind w:right="49"/>
        <w:jc w:val="both"/>
        <w:rPr>
          <w:rFonts w:cs="Arial"/>
          <w:sz w:val="16"/>
          <w:szCs w:val="16"/>
        </w:rPr>
      </w:pPr>
      <w:r w:rsidRPr="00866976">
        <w:rPr>
          <w:rFonts w:cs="Arial"/>
          <w:sz w:val="16"/>
          <w:szCs w:val="16"/>
        </w:rPr>
        <w:t xml:space="preserve">2.3.3.2. Metodología Estándar </w:t>
      </w:r>
    </w:p>
    <w:p w14:paraId="252512ED" w14:textId="77777777" w:rsidR="006D3075" w:rsidRDefault="006D3075" w:rsidP="00BE660C">
      <w:pPr>
        <w:tabs>
          <w:tab w:val="left" w:pos="720"/>
          <w:tab w:val="left" w:pos="1064"/>
          <w:tab w:val="left" w:pos="2057"/>
        </w:tabs>
        <w:ind w:right="49"/>
        <w:jc w:val="both"/>
        <w:rPr>
          <w:rFonts w:cs="Arial"/>
          <w:sz w:val="16"/>
          <w:szCs w:val="16"/>
        </w:rPr>
      </w:pPr>
    </w:p>
    <w:p w14:paraId="7953A659" w14:textId="216BBA76" w:rsidR="00CF17D5" w:rsidRPr="006D3075" w:rsidRDefault="000506D4" w:rsidP="006D3075">
      <w:pPr>
        <w:tabs>
          <w:tab w:val="left" w:pos="720"/>
          <w:tab w:val="left" w:pos="1064"/>
          <w:tab w:val="left" w:pos="2057"/>
        </w:tabs>
        <w:ind w:right="49"/>
        <w:jc w:val="both"/>
        <w:rPr>
          <w:rFonts w:cs="Arial"/>
          <w:sz w:val="16"/>
          <w:szCs w:val="16"/>
        </w:rPr>
      </w:pPr>
      <w:r w:rsidRPr="00866976">
        <w:rPr>
          <w:rFonts w:cs="Arial"/>
          <w:sz w:val="16"/>
          <w:szCs w:val="16"/>
        </w:rPr>
        <w:t>Los ingresos y egresos asignables indirectos deben distribuirse entre los ramos, según la Metodología Estándar aquí establecida, en el evento en que la entidad aseguradora no cuente con una Metodología Propia. La metodología estándar se desarrolla conforme a los siguientes parámetros:</w:t>
      </w:r>
      <w:bookmarkStart w:id="1" w:name="_GoBack"/>
      <w:bookmarkEnd w:id="1"/>
    </w:p>
    <w:sectPr w:rsidR="00CF17D5" w:rsidRPr="006D3075" w:rsidSect="00B269D7">
      <w:footerReference w:type="default" r:id="rId18"/>
      <w:pgSz w:w="12240" w:h="18720" w:code="257"/>
      <w:pgMar w:top="1417" w:right="1701" w:bottom="1417" w:left="1701" w:header="709" w:footer="865" w:gutter="0"/>
      <w:pgNumType w:start="3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B21E72" w14:textId="77777777" w:rsidR="000F4DD0" w:rsidRDefault="000F4DD0" w:rsidP="00492483">
      <w:r>
        <w:separator/>
      </w:r>
    </w:p>
  </w:endnote>
  <w:endnote w:type="continuationSeparator" w:id="0">
    <w:p w14:paraId="1436475D" w14:textId="77777777" w:rsidR="000F4DD0" w:rsidRDefault="000F4DD0" w:rsidP="00492483">
      <w:r>
        <w:continuationSeparator/>
      </w:r>
    </w:p>
  </w:endnote>
  <w:endnote w:type="continuationNotice" w:id="1">
    <w:p w14:paraId="554ECBDC" w14:textId="77777777" w:rsidR="000F4DD0" w:rsidRDefault="000F4D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E3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0E3134" w14:textId="77777777" w:rsidR="000F4DD0" w:rsidRDefault="000F4DD0" w:rsidP="00DC6CF3">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r>
  </w:p>
  <w:p w14:paraId="2E825BED" w14:textId="456E435A" w:rsidR="000F4DD0" w:rsidRPr="00492483" w:rsidRDefault="000F4DD0" w:rsidP="00DC6CF3">
    <w:pPr>
      <w:pStyle w:val="Piedepgina"/>
      <w:tabs>
        <w:tab w:val="clear" w:pos="8504"/>
        <w:tab w:val="right" w:pos="8789"/>
      </w:tabs>
      <w:rPr>
        <w:b/>
        <w:sz w:val="18"/>
        <w:szCs w:val="18"/>
      </w:rPr>
    </w:pPr>
    <w:r>
      <w:rPr>
        <w:b/>
        <w:sz w:val="18"/>
        <w:szCs w:val="18"/>
      </w:rPr>
      <w:t>Circular Externa 006 de 2018</w:t>
    </w:r>
    <w:r>
      <w:rPr>
        <w:b/>
        <w:sz w:val="18"/>
        <w:szCs w:val="18"/>
      </w:rPr>
      <w:tab/>
    </w:r>
    <w:r>
      <w:rPr>
        <w:b/>
        <w:sz w:val="18"/>
        <w:szCs w:val="18"/>
      </w:rPr>
      <w:tab/>
    </w:r>
    <w:proofErr w:type="gramStart"/>
    <w:r>
      <w:rPr>
        <w:b/>
        <w:sz w:val="18"/>
        <w:szCs w:val="18"/>
      </w:rPr>
      <w:t>Abril</w:t>
    </w:r>
    <w:proofErr w:type="gramEnd"/>
    <w:r>
      <w:rPr>
        <w:b/>
        <w:sz w:val="18"/>
        <w:szCs w:val="18"/>
      </w:rPr>
      <w:t xml:space="preserve"> de 2018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3AA1B" w14:textId="2789C75B" w:rsidR="000F4DD0" w:rsidRDefault="000F4DD0" w:rsidP="00BE660C">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PÁGINA 17</w:t>
    </w:r>
  </w:p>
  <w:p w14:paraId="177187A8" w14:textId="77AEDB94" w:rsidR="000F4DD0" w:rsidRPr="00492483" w:rsidRDefault="000F4DD0" w:rsidP="007656FF">
    <w:pPr>
      <w:pStyle w:val="Piedepgina"/>
      <w:rPr>
        <w:b/>
        <w:sz w:val="18"/>
        <w:szCs w:val="18"/>
      </w:rPr>
    </w:pPr>
    <w:r>
      <w:rPr>
        <w:b/>
        <w:sz w:val="18"/>
        <w:szCs w:val="18"/>
      </w:rPr>
      <w:t>Circular Externa XXX de 2021</w:t>
    </w:r>
    <w:r>
      <w:rPr>
        <w:b/>
        <w:sz w:val="18"/>
        <w:szCs w:val="18"/>
      </w:rPr>
      <w:tab/>
      <w:t xml:space="preserve">                                                                                                      XXXX de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14C6B" w14:textId="77777777" w:rsidR="000F4DD0" w:rsidRPr="00112228" w:rsidRDefault="000F4DD0"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w:t>
    </w:r>
  </w:p>
  <w:p w14:paraId="6A5D65E8" w14:textId="77777777" w:rsidR="000F4DD0" w:rsidRPr="00112228" w:rsidRDefault="000F4DD0" w:rsidP="00924F40">
    <w:pPr>
      <w:pStyle w:val="Piedepgina"/>
      <w:rPr>
        <w:b/>
        <w:sz w:val="18"/>
        <w:szCs w:val="18"/>
      </w:rPr>
    </w:pPr>
    <w:r>
      <w:rPr>
        <w:b/>
        <w:sz w:val="18"/>
        <w:szCs w:val="18"/>
      </w:rPr>
      <w:t xml:space="preserve">Circular Externa 025 de </w:t>
    </w:r>
    <w:r w:rsidRPr="00112228">
      <w:rPr>
        <w:b/>
        <w:sz w:val="18"/>
        <w:szCs w:val="18"/>
      </w:rPr>
      <w:t>201</w:t>
    </w:r>
    <w:r>
      <w:rPr>
        <w:b/>
        <w:sz w:val="18"/>
        <w:szCs w:val="18"/>
      </w:rPr>
      <w:t xml:space="preserve">7 </w:t>
    </w:r>
    <w:r w:rsidRPr="00112228">
      <w:rPr>
        <w:b/>
        <w:sz w:val="18"/>
        <w:szCs w:val="18"/>
      </w:rPr>
      <w:tab/>
      <w:t xml:space="preserve">                                                                        </w:t>
    </w:r>
    <w:r>
      <w:rPr>
        <w:b/>
        <w:sz w:val="18"/>
        <w:szCs w:val="18"/>
      </w:rPr>
      <w:t xml:space="preserve">                    </w:t>
    </w:r>
    <w:proofErr w:type="gramStart"/>
    <w:r>
      <w:rPr>
        <w:b/>
        <w:sz w:val="18"/>
        <w:szCs w:val="18"/>
      </w:rPr>
      <w:t>Septiembre</w:t>
    </w:r>
    <w:proofErr w:type="gramEnd"/>
    <w:r>
      <w:rPr>
        <w:b/>
        <w:sz w:val="18"/>
        <w:szCs w:val="18"/>
      </w:rPr>
      <w:t xml:space="preserve"> de 2017</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8D36B" w14:textId="01CA598A" w:rsidR="000F4DD0" w:rsidRDefault="000F4DD0" w:rsidP="00BE660C">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PÁGINA 1</w:t>
    </w:r>
    <w:r w:rsidR="007172F4">
      <w:rPr>
        <w:b/>
        <w:sz w:val="18"/>
        <w:szCs w:val="18"/>
      </w:rPr>
      <w:t>7-1</w:t>
    </w:r>
  </w:p>
  <w:p w14:paraId="1FF37362" w14:textId="77777777" w:rsidR="000F4DD0" w:rsidRPr="00492483" w:rsidRDefault="000F4DD0" w:rsidP="007656FF">
    <w:pPr>
      <w:pStyle w:val="Piedepgina"/>
      <w:rPr>
        <w:b/>
        <w:sz w:val="18"/>
        <w:szCs w:val="18"/>
      </w:rPr>
    </w:pPr>
    <w:r>
      <w:rPr>
        <w:b/>
        <w:sz w:val="18"/>
        <w:szCs w:val="18"/>
      </w:rPr>
      <w:t>Circular Externa XXX de 2021</w:t>
    </w:r>
    <w:r>
      <w:rPr>
        <w:b/>
        <w:sz w:val="18"/>
        <w:szCs w:val="18"/>
      </w:rPr>
      <w:tab/>
      <w:t xml:space="preserve">                                                                                                      XXXX de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DFF07E" w14:textId="77777777" w:rsidR="000F4DD0" w:rsidRDefault="000F4DD0" w:rsidP="00492483">
      <w:r>
        <w:separator/>
      </w:r>
    </w:p>
  </w:footnote>
  <w:footnote w:type="continuationSeparator" w:id="0">
    <w:p w14:paraId="0D6DD7D7" w14:textId="77777777" w:rsidR="000F4DD0" w:rsidRDefault="000F4DD0" w:rsidP="00492483">
      <w:r>
        <w:continuationSeparator/>
      </w:r>
    </w:p>
  </w:footnote>
  <w:footnote w:type="continuationNotice" w:id="1">
    <w:p w14:paraId="31DC2D77" w14:textId="77777777" w:rsidR="000F4DD0" w:rsidRDefault="000F4D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9593A" w14:textId="77777777" w:rsidR="000F4DD0" w:rsidRDefault="000F4DD0" w:rsidP="00492483">
    <w:pPr>
      <w:pStyle w:val="Encabezado"/>
      <w:jc w:val="center"/>
      <w:rPr>
        <w:b/>
        <w:sz w:val="24"/>
        <w:szCs w:val="24"/>
      </w:rPr>
    </w:pPr>
    <w:r w:rsidRPr="00492483">
      <w:rPr>
        <w:b/>
        <w:sz w:val="24"/>
        <w:szCs w:val="24"/>
      </w:rPr>
      <w:t>SUPERINTENDENCIA FINANCIERA DE COLOMBIA</w:t>
    </w:r>
  </w:p>
  <w:p w14:paraId="3760F4E4" w14:textId="77777777" w:rsidR="000F4DD0" w:rsidRPr="00492483" w:rsidRDefault="000F4DD0" w:rsidP="00CD186B">
    <w:pPr>
      <w:pStyle w:val="Encabezado"/>
      <w:tabs>
        <w:tab w:val="left" w:pos="714"/>
      </w:tabs>
      <w:jc w:val="left"/>
      <w:rPr>
        <w:b/>
        <w:sz w:val="24"/>
        <w:szCs w:val="24"/>
      </w:rPr>
    </w:pPr>
    <w:r>
      <w:rPr>
        <w:b/>
        <w:sz w:val="24"/>
        <w:szCs w:val="24"/>
      </w:rPr>
      <w:tab/>
    </w:r>
    <w:r>
      <w:rPr>
        <w:b/>
        <w:sz w:val="24"/>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18984" w14:textId="77777777" w:rsidR="000F4DD0" w:rsidRDefault="000F4DD0" w:rsidP="00FD466C">
    <w:pPr>
      <w:pStyle w:val="Encabezado"/>
      <w:jc w:val="center"/>
      <w:rPr>
        <w:b/>
        <w:sz w:val="24"/>
        <w:szCs w:val="24"/>
      </w:rPr>
    </w:pPr>
    <w:r w:rsidRPr="00492483">
      <w:rPr>
        <w:b/>
        <w:sz w:val="24"/>
        <w:szCs w:val="24"/>
      </w:rPr>
      <w:t>SUPERINTENDENCIA FINANCIERA DE COLOMBIA</w:t>
    </w:r>
  </w:p>
  <w:p w14:paraId="68F5613F" w14:textId="77777777" w:rsidR="000F4DD0" w:rsidRDefault="000F4DD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EE743" w14:textId="77777777" w:rsidR="000F4DD0" w:rsidRDefault="000F4DD0" w:rsidP="00492483">
    <w:pPr>
      <w:pStyle w:val="Encabezado"/>
      <w:jc w:val="center"/>
      <w:rPr>
        <w:b/>
        <w:sz w:val="24"/>
        <w:szCs w:val="24"/>
      </w:rPr>
    </w:pPr>
    <w:r w:rsidRPr="00492483">
      <w:rPr>
        <w:b/>
        <w:sz w:val="24"/>
        <w:szCs w:val="24"/>
      </w:rPr>
      <w:t>SUPERINTENDENCIA FINANCIERA DE COLOMBIA</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3E1CE6" w14:textId="77777777" w:rsidR="000F4DD0" w:rsidRDefault="000F4DD0" w:rsidP="00FD466C">
    <w:pPr>
      <w:pStyle w:val="Encabezado"/>
      <w:jc w:val="center"/>
      <w:rPr>
        <w:b/>
        <w:sz w:val="24"/>
        <w:szCs w:val="24"/>
      </w:rPr>
    </w:pPr>
    <w:r w:rsidRPr="00492483">
      <w:rPr>
        <w:b/>
        <w:sz w:val="24"/>
        <w:szCs w:val="24"/>
      </w:rPr>
      <w:t>SUPERINTENDENCIA FINANCIERA DE COLOMBIA</w:t>
    </w:r>
  </w:p>
  <w:p w14:paraId="0BE76B6A" w14:textId="77777777" w:rsidR="000F4DD0" w:rsidRDefault="000F4DD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99AA72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14256FE"/>
    <w:multiLevelType w:val="multilevel"/>
    <w:tmpl w:val="0C522626"/>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480" w:hanging="48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CC451FC"/>
    <w:multiLevelType w:val="multilevel"/>
    <w:tmpl w:val="05CA5E50"/>
    <w:lvl w:ilvl="0">
      <w:start w:val="2"/>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4"/>
      <w:numFmt w:val="decimal"/>
      <w:lvlText w:val="%1.%2.%3."/>
      <w:lvlJc w:val="left"/>
      <w:pPr>
        <w:ind w:left="810" w:hanging="810"/>
      </w:pPr>
      <w:rPr>
        <w:rFonts w:hint="default"/>
      </w:rPr>
    </w:lvl>
    <w:lvl w:ilvl="3">
      <w:start w:val="2"/>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487033F6"/>
    <w:multiLevelType w:val="multilevel"/>
    <w:tmpl w:val="A3F8DBB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Ttulo3"/>
      <w:lvlText w:val="%1.%2.%3"/>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4" w15:restartNumberingAfterBreak="0">
    <w:nsid w:val="5B1D30CA"/>
    <w:multiLevelType w:val="multilevel"/>
    <w:tmpl w:val="B3F2EB70"/>
    <w:lvl w:ilvl="0">
      <w:start w:val="1"/>
      <w:numFmt w:val="decimal"/>
      <w:pStyle w:val="Titulo2"/>
      <w:lvlText w:val="%1."/>
      <w:lvlJc w:val="left"/>
      <w:pPr>
        <w:tabs>
          <w:tab w:val="num" w:pos="786"/>
        </w:tabs>
        <w:ind w:left="426" w:firstLine="0"/>
      </w:pPr>
      <w:rPr>
        <w:rFonts w:ascii="Arial" w:hAnsi="Arial" w:hint="default"/>
        <w:b/>
        <w:i w:val="0"/>
        <w:sz w:val="24"/>
      </w:rPr>
    </w:lvl>
    <w:lvl w:ilvl="1">
      <w:start w:val="1"/>
      <w:numFmt w:val="decimal"/>
      <w:pStyle w:val="Titulo"/>
      <w:lvlText w:val="%1.%2."/>
      <w:lvlJc w:val="left"/>
      <w:pPr>
        <w:tabs>
          <w:tab w:val="num" w:pos="360"/>
        </w:tabs>
        <w:ind w:left="360" w:hanging="360"/>
      </w:pPr>
      <w:rPr>
        <w:rFonts w:ascii="Arial" w:hAnsi="Arial" w:cs="Arial" w:hint="default"/>
        <w:b/>
        <w:sz w:val="22"/>
        <w:szCs w:val="22"/>
      </w:rPr>
    </w:lvl>
    <w:lvl w:ilvl="2">
      <w:start w:val="1"/>
      <w:numFmt w:val="decimal"/>
      <w:lvlText w:val="%1.%2.%3"/>
      <w:lvlJc w:val="left"/>
      <w:pPr>
        <w:tabs>
          <w:tab w:val="num" w:pos="720"/>
        </w:tabs>
        <w:ind w:left="0" w:firstLine="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5B656EB3"/>
    <w:multiLevelType w:val="multilevel"/>
    <w:tmpl w:val="71F083EE"/>
    <w:lvl w:ilvl="0">
      <w:start w:val="2"/>
      <w:numFmt w:val="decimal"/>
      <w:lvlText w:val="%1."/>
      <w:lvlJc w:val="left"/>
      <w:pPr>
        <w:ind w:left="528" w:hanging="528"/>
      </w:pPr>
      <w:rPr>
        <w:rFonts w:cs="Times New Roman" w:hint="default"/>
        <w:b w:val="0"/>
      </w:rPr>
    </w:lvl>
    <w:lvl w:ilvl="1">
      <w:start w:val="1"/>
      <w:numFmt w:val="decimal"/>
      <w:lvlText w:val="%1.%2."/>
      <w:lvlJc w:val="left"/>
      <w:pPr>
        <w:ind w:left="528" w:hanging="528"/>
      </w:pPr>
      <w:rPr>
        <w:rFonts w:cs="Times New Roman" w:hint="default"/>
        <w:b w:val="0"/>
      </w:rPr>
    </w:lvl>
    <w:lvl w:ilvl="2">
      <w:start w:val="1"/>
      <w:numFmt w:val="decimal"/>
      <w:lvlText w:val="%1.%2.%3."/>
      <w:lvlJc w:val="left"/>
      <w:pPr>
        <w:ind w:left="720" w:hanging="720"/>
      </w:pPr>
      <w:rPr>
        <w:rFonts w:cs="Times New Roman" w:hint="default"/>
        <w:b/>
        <w:bCs/>
      </w:rPr>
    </w:lvl>
    <w:lvl w:ilvl="3">
      <w:start w:val="2"/>
      <w:numFmt w:val="decimal"/>
      <w:lvlText w:val="%1.%2.%3.%4."/>
      <w:lvlJc w:val="left"/>
      <w:pPr>
        <w:ind w:left="720" w:hanging="720"/>
      </w:pPr>
      <w:rPr>
        <w:rFonts w:cs="Times New Roman" w:hint="default"/>
        <w:b/>
        <w:bCs/>
      </w:rPr>
    </w:lvl>
    <w:lvl w:ilvl="4">
      <w:start w:val="1"/>
      <w:numFmt w:val="decimal"/>
      <w:lvlText w:val="%1.%2.%3.%4.%5."/>
      <w:lvlJc w:val="left"/>
      <w:pPr>
        <w:ind w:left="720" w:hanging="720"/>
      </w:pPr>
      <w:rPr>
        <w:rFonts w:cs="Times New Roman" w:hint="default"/>
        <w:b/>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080" w:hanging="1080"/>
      </w:pPr>
      <w:rPr>
        <w:rFonts w:cs="Times New Roman" w:hint="default"/>
        <w:b w:val="0"/>
      </w:rPr>
    </w:lvl>
    <w:lvl w:ilvl="7">
      <w:start w:val="1"/>
      <w:numFmt w:val="decimal"/>
      <w:lvlText w:val="%1.%2.%3.%4.%5.%6.%7.%8."/>
      <w:lvlJc w:val="left"/>
      <w:pPr>
        <w:ind w:left="1080" w:hanging="1080"/>
      </w:pPr>
      <w:rPr>
        <w:rFonts w:cs="Times New Roman" w:hint="default"/>
        <w:b w:val="0"/>
      </w:rPr>
    </w:lvl>
    <w:lvl w:ilvl="8">
      <w:start w:val="1"/>
      <w:numFmt w:val="decimal"/>
      <w:lvlText w:val="%1.%2.%3.%4.%5.%6.%7.%8.%9."/>
      <w:lvlJc w:val="left"/>
      <w:pPr>
        <w:ind w:left="1440" w:hanging="1440"/>
      </w:pPr>
      <w:rPr>
        <w:rFonts w:cs="Times New Roman" w:hint="default"/>
        <w:b w:val="0"/>
      </w:rPr>
    </w:lvl>
  </w:abstractNum>
  <w:abstractNum w:abstractNumId="6" w15:restartNumberingAfterBreak="0">
    <w:nsid w:val="63BC6D94"/>
    <w:multiLevelType w:val="multilevel"/>
    <w:tmpl w:val="06D6C000"/>
    <w:lvl w:ilvl="0">
      <w:start w:val="2"/>
      <w:numFmt w:val="decimal"/>
      <w:lvlText w:val="%1."/>
      <w:lvlJc w:val="left"/>
      <w:pPr>
        <w:ind w:left="675" w:hanging="675"/>
      </w:pPr>
      <w:rPr>
        <w:rFonts w:hint="default"/>
      </w:rPr>
    </w:lvl>
    <w:lvl w:ilvl="1">
      <w:start w:val="1"/>
      <w:numFmt w:val="decimal"/>
      <w:lvlText w:val="%1.%2."/>
      <w:lvlJc w:val="left"/>
      <w:pPr>
        <w:ind w:left="675" w:hanging="675"/>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3"/>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7A3775CE"/>
    <w:multiLevelType w:val="multilevel"/>
    <w:tmpl w:val="5AE8093E"/>
    <w:lvl w:ilvl="0">
      <w:start w:val="2"/>
      <w:numFmt w:val="decimal"/>
      <w:lvlText w:val="%1."/>
      <w:lvlJc w:val="left"/>
      <w:pPr>
        <w:ind w:left="528" w:hanging="528"/>
      </w:pPr>
      <w:rPr>
        <w:rFonts w:hint="default"/>
      </w:rPr>
    </w:lvl>
    <w:lvl w:ilvl="1">
      <w:start w:val="1"/>
      <w:numFmt w:val="decimal"/>
      <w:lvlText w:val="%1.%2."/>
      <w:lvlJc w:val="left"/>
      <w:pPr>
        <w:ind w:left="528" w:hanging="528"/>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0"/>
  </w:num>
  <w:num w:numId="3">
    <w:abstractNumId w:val="2"/>
  </w:num>
  <w:num w:numId="4">
    <w:abstractNumId w:val="5"/>
  </w:num>
  <w:num w:numId="5">
    <w:abstractNumId w:val="7"/>
  </w:num>
  <w:num w:numId="6">
    <w:abstractNumId w:val="4"/>
  </w:num>
  <w:num w:numId="7">
    <w:abstractNumId w:val="1"/>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D26"/>
    <w:rsid w:val="000034D6"/>
    <w:rsid w:val="00004BB2"/>
    <w:rsid w:val="00005B9B"/>
    <w:rsid w:val="00021F51"/>
    <w:rsid w:val="00026038"/>
    <w:rsid w:val="000506D4"/>
    <w:rsid w:val="00052332"/>
    <w:rsid w:val="00052D1A"/>
    <w:rsid w:val="000610CD"/>
    <w:rsid w:val="00091F4F"/>
    <w:rsid w:val="0009238F"/>
    <w:rsid w:val="0009313D"/>
    <w:rsid w:val="000A4859"/>
    <w:rsid w:val="000B16B8"/>
    <w:rsid w:val="000C1AB8"/>
    <w:rsid w:val="000C3C18"/>
    <w:rsid w:val="000D24CA"/>
    <w:rsid w:val="000D3236"/>
    <w:rsid w:val="000D715A"/>
    <w:rsid w:val="000D7CEE"/>
    <w:rsid w:val="000E5C53"/>
    <w:rsid w:val="000E7357"/>
    <w:rsid w:val="000F171E"/>
    <w:rsid w:val="000F4DD0"/>
    <w:rsid w:val="001029BA"/>
    <w:rsid w:val="0011439F"/>
    <w:rsid w:val="001265D4"/>
    <w:rsid w:val="00126FFB"/>
    <w:rsid w:val="00127D78"/>
    <w:rsid w:val="00135808"/>
    <w:rsid w:val="00136937"/>
    <w:rsid w:val="00140612"/>
    <w:rsid w:val="00144075"/>
    <w:rsid w:val="00146E71"/>
    <w:rsid w:val="001501BE"/>
    <w:rsid w:val="0015138B"/>
    <w:rsid w:val="00156D25"/>
    <w:rsid w:val="001602EA"/>
    <w:rsid w:val="00164D95"/>
    <w:rsid w:val="001703CE"/>
    <w:rsid w:val="00176559"/>
    <w:rsid w:val="00187299"/>
    <w:rsid w:val="001919AF"/>
    <w:rsid w:val="001B0554"/>
    <w:rsid w:val="001B05A7"/>
    <w:rsid w:val="001C44B8"/>
    <w:rsid w:val="001D1677"/>
    <w:rsid w:val="001D365B"/>
    <w:rsid w:val="001D39B6"/>
    <w:rsid w:val="001E274F"/>
    <w:rsid w:val="001E2D97"/>
    <w:rsid w:val="001E6AE8"/>
    <w:rsid w:val="00200DC3"/>
    <w:rsid w:val="002022B3"/>
    <w:rsid w:val="0020340C"/>
    <w:rsid w:val="00225181"/>
    <w:rsid w:val="00227A92"/>
    <w:rsid w:val="00232CAB"/>
    <w:rsid w:val="00237AE8"/>
    <w:rsid w:val="00243B4D"/>
    <w:rsid w:val="00245FCB"/>
    <w:rsid w:val="0026070B"/>
    <w:rsid w:val="002736F5"/>
    <w:rsid w:val="00273EA0"/>
    <w:rsid w:val="00281A2D"/>
    <w:rsid w:val="00287CAF"/>
    <w:rsid w:val="002947BB"/>
    <w:rsid w:val="00296CC0"/>
    <w:rsid w:val="002A11F6"/>
    <w:rsid w:val="002A1822"/>
    <w:rsid w:val="002A22D6"/>
    <w:rsid w:val="002B0368"/>
    <w:rsid w:val="002B2B15"/>
    <w:rsid w:val="002B6B12"/>
    <w:rsid w:val="002C089D"/>
    <w:rsid w:val="002C2B33"/>
    <w:rsid w:val="002C63C2"/>
    <w:rsid w:val="002D38CA"/>
    <w:rsid w:val="002E1D26"/>
    <w:rsid w:val="002F1890"/>
    <w:rsid w:val="002F1E2A"/>
    <w:rsid w:val="002F6315"/>
    <w:rsid w:val="002F744C"/>
    <w:rsid w:val="00300643"/>
    <w:rsid w:val="00311C17"/>
    <w:rsid w:val="003171C9"/>
    <w:rsid w:val="00321944"/>
    <w:rsid w:val="0032431A"/>
    <w:rsid w:val="00325C17"/>
    <w:rsid w:val="003309B4"/>
    <w:rsid w:val="003469D4"/>
    <w:rsid w:val="00347290"/>
    <w:rsid w:val="00353C20"/>
    <w:rsid w:val="00356E1E"/>
    <w:rsid w:val="0037531D"/>
    <w:rsid w:val="00383CB6"/>
    <w:rsid w:val="003846D5"/>
    <w:rsid w:val="00387960"/>
    <w:rsid w:val="00396357"/>
    <w:rsid w:val="00396C8B"/>
    <w:rsid w:val="003A6DD0"/>
    <w:rsid w:val="003A743E"/>
    <w:rsid w:val="003B2959"/>
    <w:rsid w:val="003B2AE7"/>
    <w:rsid w:val="003B2C62"/>
    <w:rsid w:val="003C16D0"/>
    <w:rsid w:val="003D01A6"/>
    <w:rsid w:val="003E224C"/>
    <w:rsid w:val="003E2EE0"/>
    <w:rsid w:val="003E4635"/>
    <w:rsid w:val="003F05A3"/>
    <w:rsid w:val="00414686"/>
    <w:rsid w:val="004233F9"/>
    <w:rsid w:val="0042775D"/>
    <w:rsid w:val="00430A1B"/>
    <w:rsid w:val="00444261"/>
    <w:rsid w:val="004544FD"/>
    <w:rsid w:val="00455FA1"/>
    <w:rsid w:val="00456ADE"/>
    <w:rsid w:val="004642AC"/>
    <w:rsid w:val="004731EC"/>
    <w:rsid w:val="004734D4"/>
    <w:rsid w:val="00492483"/>
    <w:rsid w:val="00493C71"/>
    <w:rsid w:val="004A4D2E"/>
    <w:rsid w:val="004B24C9"/>
    <w:rsid w:val="004C0D8A"/>
    <w:rsid w:val="004E62C3"/>
    <w:rsid w:val="00516E6A"/>
    <w:rsid w:val="00527E8E"/>
    <w:rsid w:val="00530C21"/>
    <w:rsid w:val="00535EFF"/>
    <w:rsid w:val="00537D47"/>
    <w:rsid w:val="00542D7F"/>
    <w:rsid w:val="00551BE7"/>
    <w:rsid w:val="00566B36"/>
    <w:rsid w:val="005729F7"/>
    <w:rsid w:val="00577AB4"/>
    <w:rsid w:val="00585D4C"/>
    <w:rsid w:val="00592102"/>
    <w:rsid w:val="005A5AB6"/>
    <w:rsid w:val="005B1EB6"/>
    <w:rsid w:val="005B5E0D"/>
    <w:rsid w:val="005B6EBA"/>
    <w:rsid w:val="005C2CB9"/>
    <w:rsid w:val="005C325A"/>
    <w:rsid w:val="005C33AD"/>
    <w:rsid w:val="005C683B"/>
    <w:rsid w:val="005D4962"/>
    <w:rsid w:val="005D4A9E"/>
    <w:rsid w:val="005E4D27"/>
    <w:rsid w:val="005F29C7"/>
    <w:rsid w:val="006110D2"/>
    <w:rsid w:val="006165CF"/>
    <w:rsid w:val="006217F0"/>
    <w:rsid w:val="00622816"/>
    <w:rsid w:val="00627D15"/>
    <w:rsid w:val="006368D1"/>
    <w:rsid w:val="00641D7A"/>
    <w:rsid w:val="00651F47"/>
    <w:rsid w:val="00652BF0"/>
    <w:rsid w:val="00657F81"/>
    <w:rsid w:val="00692A66"/>
    <w:rsid w:val="00696338"/>
    <w:rsid w:val="00697CF2"/>
    <w:rsid w:val="006A5A6E"/>
    <w:rsid w:val="006B2BDD"/>
    <w:rsid w:val="006B53BD"/>
    <w:rsid w:val="006B6D26"/>
    <w:rsid w:val="006C38CD"/>
    <w:rsid w:val="006C4CC2"/>
    <w:rsid w:val="006C6720"/>
    <w:rsid w:val="006D3075"/>
    <w:rsid w:val="006E1037"/>
    <w:rsid w:val="006E283D"/>
    <w:rsid w:val="006F431F"/>
    <w:rsid w:val="00714442"/>
    <w:rsid w:val="007172F4"/>
    <w:rsid w:val="00723708"/>
    <w:rsid w:val="00726C0A"/>
    <w:rsid w:val="0073212E"/>
    <w:rsid w:val="007439A1"/>
    <w:rsid w:val="00755B07"/>
    <w:rsid w:val="00756760"/>
    <w:rsid w:val="00763D90"/>
    <w:rsid w:val="007656FF"/>
    <w:rsid w:val="0077470A"/>
    <w:rsid w:val="00784D10"/>
    <w:rsid w:val="0078594E"/>
    <w:rsid w:val="00790EAF"/>
    <w:rsid w:val="00791CAF"/>
    <w:rsid w:val="00792ABE"/>
    <w:rsid w:val="007942A4"/>
    <w:rsid w:val="00794BB6"/>
    <w:rsid w:val="007B0902"/>
    <w:rsid w:val="007B20DF"/>
    <w:rsid w:val="007B344D"/>
    <w:rsid w:val="007C55F7"/>
    <w:rsid w:val="007D1B0E"/>
    <w:rsid w:val="007D369F"/>
    <w:rsid w:val="007E470C"/>
    <w:rsid w:val="007E5824"/>
    <w:rsid w:val="007E626D"/>
    <w:rsid w:val="007F0EB2"/>
    <w:rsid w:val="0080345A"/>
    <w:rsid w:val="00810126"/>
    <w:rsid w:val="00811F60"/>
    <w:rsid w:val="00827D83"/>
    <w:rsid w:val="00831E85"/>
    <w:rsid w:val="00833999"/>
    <w:rsid w:val="0084020C"/>
    <w:rsid w:val="00854D1E"/>
    <w:rsid w:val="008640FB"/>
    <w:rsid w:val="00866976"/>
    <w:rsid w:val="008711B0"/>
    <w:rsid w:val="00873434"/>
    <w:rsid w:val="008824EC"/>
    <w:rsid w:val="00882F6A"/>
    <w:rsid w:val="008945E4"/>
    <w:rsid w:val="008B1615"/>
    <w:rsid w:val="008B2914"/>
    <w:rsid w:val="008B4014"/>
    <w:rsid w:val="008C13AD"/>
    <w:rsid w:val="008C20EC"/>
    <w:rsid w:val="008C2AFE"/>
    <w:rsid w:val="008C2BF8"/>
    <w:rsid w:val="008C78F3"/>
    <w:rsid w:val="008D0976"/>
    <w:rsid w:val="008D2A7F"/>
    <w:rsid w:val="008D63A1"/>
    <w:rsid w:val="008D643A"/>
    <w:rsid w:val="008D64AD"/>
    <w:rsid w:val="008D7926"/>
    <w:rsid w:val="008E24A0"/>
    <w:rsid w:val="008F1301"/>
    <w:rsid w:val="008F1C15"/>
    <w:rsid w:val="00904423"/>
    <w:rsid w:val="00906D6F"/>
    <w:rsid w:val="00913B37"/>
    <w:rsid w:val="00915BD3"/>
    <w:rsid w:val="009214C2"/>
    <w:rsid w:val="0092341B"/>
    <w:rsid w:val="009247DB"/>
    <w:rsid w:val="00924F40"/>
    <w:rsid w:val="0092762A"/>
    <w:rsid w:val="00927B6A"/>
    <w:rsid w:val="00935FCB"/>
    <w:rsid w:val="0095003A"/>
    <w:rsid w:val="00960AFB"/>
    <w:rsid w:val="009667E3"/>
    <w:rsid w:val="00972FCB"/>
    <w:rsid w:val="00982FEE"/>
    <w:rsid w:val="00985287"/>
    <w:rsid w:val="0098622C"/>
    <w:rsid w:val="00986D8B"/>
    <w:rsid w:val="00990BEF"/>
    <w:rsid w:val="0099369A"/>
    <w:rsid w:val="00993AD0"/>
    <w:rsid w:val="00993BBD"/>
    <w:rsid w:val="009A22D9"/>
    <w:rsid w:val="009A49F2"/>
    <w:rsid w:val="009B173C"/>
    <w:rsid w:val="009B3536"/>
    <w:rsid w:val="009C073E"/>
    <w:rsid w:val="009F11C8"/>
    <w:rsid w:val="009F4C5E"/>
    <w:rsid w:val="00A12D8D"/>
    <w:rsid w:val="00A26B34"/>
    <w:rsid w:val="00A32F3B"/>
    <w:rsid w:val="00A35509"/>
    <w:rsid w:val="00A4150B"/>
    <w:rsid w:val="00A41D95"/>
    <w:rsid w:val="00A437F8"/>
    <w:rsid w:val="00A46172"/>
    <w:rsid w:val="00A632BB"/>
    <w:rsid w:val="00A77ED0"/>
    <w:rsid w:val="00A830EC"/>
    <w:rsid w:val="00A83C67"/>
    <w:rsid w:val="00A92F8B"/>
    <w:rsid w:val="00A95C0A"/>
    <w:rsid w:val="00AA1A19"/>
    <w:rsid w:val="00AA31FD"/>
    <w:rsid w:val="00AA3347"/>
    <w:rsid w:val="00AB0460"/>
    <w:rsid w:val="00AC1E01"/>
    <w:rsid w:val="00AC4555"/>
    <w:rsid w:val="00AD232B"/>
    <w:rsid w:val="00AD71C7"/>
    <w:rsid w:val="00AF6AF8"/>
    <w:rsid w:val="00AF79E4"/>
    <w:rsid w:val="00B00908"/>
    <w:rsid w:val="00B00A79"/>
    <w:rsid w:val="00B01D15"/>
    <w:rsid w:val="00B03300"/>
    <w:rsid w:val="00B10D26"/>
    <w:rsid w:val="00B264C9"/>
    <w:rsid w:val="00B269D7"/>
    <w:rsid w:val="00B30839"/>
    <w:rsid w:val="00B31231"/>
    <w:rsid w:val="00B40D8E"/>
    <w:rsid w:val="00B4422B"/>
    <w:rsid w:val="00B5597B"/>
    <w:rsid w:val="00B5674C"/>
    <w:rsid w:val="00B671CC"/>
    <w:rsid w:val="00B829A7"/>
    <w:rsid w:val="00B854F5"/>
    <w:rsid w:val="00B930BE"/>
    <w:rsid w:val="00BB0A30"/>
    <w:rsid w:val="00BB7D9F"/>
    <w:rsid w:val="00BC38ED"/>
    <w:rsid w:val="00BC3E4E"/>
    <w:rsid w:val="00BE660C"/>
    <w:rsid w:val="00BE7CD4"/>
    <w:rsid w:val="00BF4ADD"/>
    <w:rsid w:val="00BF68BD"/>
    <w:rsid w:val="00C05DA1"/>
    <w:rsid w:val="00C06C3A"/>
    <w:rsid w:val="00C16812"/>
    <w:rsid w:val="00C20293"/>
    <w:rsid w:val="00C2042B"/>
    <w:rsid w:val="00C335D9"/>
    <w:rsid w:val="00C37664"/>
    <w:rsid w:val="00C434E9"/>
    <w:rsid w:val="00C53E3C"/>
    <w:rsid w:val="00C5407C"/>
    <w:rsid w:val="00C66A3E"/>
    <w:rsid w:val="00C73B6D"/>
    <w:rsid w:val="00C81AFF"/>
    <w:rsid w:val="00C9139C"/>
    <w:rsid w:val="00C91F3A"/>
    <w:rsid w:val="00CA2CF2"/>
    <w:rsid w:val="00CA6172"/>
    <w:rsid w:val="00CC2C5E"/>
    <w:rsid w:val="00CC77BD"/>
    <w:rsid w:val="00CD186B"/>
    <w:rsid w:val="00CD4BF2"/>
    <w:rsid w:val="00CD4DBA"/>
    <w:rsid w:val="00CF17D5"/>
    <w:rsid w:val="00CF278B"/>
    <w:rsid w:val="00CF2A24"/>
    <w:rsid w:val="00CF3439"/>
    <w:rsid w:val="00CF4711"/>
    <w:rsid w:val="00CF7DE6"/>
    <w:rsid w:val="00D01F89"/>
    <w:rsid w:val="00D131DC"/>
    <w:rsid w:val="00D30308"/>
    <w:rsid w:val="00D327DD"/>
    <w:rsid w:val="00D44B25"/>
    <w:rsid w:val="00D5244A"/>
    <w:rsid w:val="00D53B6C"/>
    <w:rsid w:val="00D56961"/>
    <w:rsid w:val="00D65CB9"/>
    <w:rsid w:val="00D73F5B"/>
    <w:rsid w:val="00D91107"/>
    <w:rsid w:val="00D91A9A"/>
    <w:rsid w:val="00DB3C51"/>
    <w:rsid w:val="00DC0F5E"/>
    <w:rsid w:val="00DC15B9"/>
    <w:rsid w:val="00DC251F"/>
    <w:rsid w:val="00DC6CF3"/>
    <w:rsid w:val="00DD2A2F"/>
    <w:rsid w:val="00DD6972"/>
    <w:rsid w:val="00DD703B"/>
    <w:rsid w:val="00DE0577"/>
    <w:rsid w:val="00DE535B"/>
    <w:rsid w:val="00DF50EA"/>
    <w:rsid w:val="00E00EEC"/>
    <w:rsid w:val="00E01174"/>
    <w:rsid w:val="00E0324E"/>
    <w:rsid w:val="00E04FA1"/>
    <w:rsid w:val="00E165E5"/>
    <w:rsid w:val="00E21C96"/>
    <w:rsid w:val="00E3370C"/>
    <w:rsid w:val="00E33CAB"/>
    <w:rsid w:val="00E41390"/>
    <w:rsid w:val="00E42A6C"/>
    <w:rsid w:val="00E444A0"/>
    <w:rsid w:val="00E47CE5"/>
    <w:rsid w:val="00E52503"/>
    <w:rsid w:val="00E526F0"/>
    <w:rsid w:val="00E60256"/>
    <w:rsid w:val="00E634E1"/>
    <w:rsid w:val="00E766F1"/>
    <w:rsid w:val="00E82019"/>
    <w:rsid w:val="00E928C8"/>
    <w:rsid w:val="00E97E26"/>
    <w:rsid w:val="00EB046B"/>
    <w:rsid w:val="00EB5288"/>
    <w:rsid w:val="00EB6462"/>
    <w:rsid w:val="00EC17D0"/>
    <w:rsid w:val="00EC18CA"/>
    <w:rsid w:val="00EC1E85"/>
    <w:rsid w:val="00EC4A8D"/>
    <w:rsid w:val="00ED470E"/>
    <w:rsid w:val="00EE0018"/>
    <w:rsid w:val="00EE13A7"/>
    <w:rsid w:val="00EE2660"/>
    <w:rsid w:val="00EF05C9"/>
    <w:rsid w:val="00EF67C2"/>
    <w:rsid w:val="00EF79B9"/>
    <w:rsid w:val="00F01A00"/>
    <w:rsid w:val="00F023E6"/>
    <w:rsid w:val="00F11752"/>
    <w:rsid w:val="00F260AB"/>
    <w:rsid w:val="00F274E9"/>
    <w:rsid w:val="00F339B9"/>
    <w:rsid w:val="00F45E7E"/>
    <w:rsid w:val="00F56311"/>
    <w:rsid w:val="00F62911"/>
    <w:rsid w:val="00F72782"/>
    <w:rsid w:val="00F743DD"/>
    <w:rsid w:val="00F856A0"/>
    <w:rsid w:val="00F904B2"/>
    <w:rsid w:val="00F9144A"/>
    <w:rsid w:val="00FA0FC1"/>
    <w:rsid w:val="00FA49B6"/>
    <w:rsid w:val="00FB1E7D"/>
    <w:rsid w:val="00FC5AB6"/>
    <w:rsid w:val="00FC7312"/>
    <w:rsid w:val="00FD466C"/>
    <w:rsid w:val="00FE03C0"/>
    <w:rsid w:val="00FE4FAA"/>
    <w:rsid w:val="00FF5575"/>
    <w:rsid w:val="00FF773F"/>
    <w:rsid w:val="00FF7804"/>
    <w:rsid w:val="08E985ED"/>
    <w:rsid w:val="09A71E88"/>
    <w:rsid w:val="09F56CC6"/>
    <w:rsid w:val="0B1477AA"/>
    <w:rsid w:val="0C1D99E5"/>
    <w:rsid w:val="0D5DB201"/>
    <w:rsid w:val="0DFB8DAE"/>
    <w:rsid w:val="0ECE3ABE"/>
    <w:rsid w:val="0FC33D3D"/>
    <w:rsid w:val="11AA1111"/>
    <w:rsid w:val="147EABB4"/>
    <w:rsid w:val="16A2254F"/>
    <w:rsid w:val="17448E38"/>
    <w:rsid w:val="17A9E194"/>
    <w:rsid w:val="191534E4"/>
    <w:rsid w:val="1A3E9557"/>
    <w:rsid w:val="1B04B058"/>
    <w:rsid w:val="26DB93A8"/>
    <w:rsid w:val="2732661B"/>
    <w:rsid w:val="28932E54"/>
    <w:rsid w:val="2BF3C8E9"/>
    <w:rsid w:val="2C8FF5FB"/>
    <w:rsid w:val="32D0E331"/>
    <w:rsid w:val="37153C72"/>
    <w:rsid w:val="3932E353"/>
    <w:rsid w:val="3955851C"/>
    <w:rsid w:val="3BACCA81"/>
    <w:rsid w:val="3BFB5B27"/>
    <w:rsid w:val="3D320B70"/>
    <w:rsid w:val="3D9D944F"/>
    <w:rsid w:val="3F4B7C6E"/>
    <w:rsid w:val="40B079E9"/>
    <w:rsid w:val="40ECA9A4"/>
    <w:rsid w:val="428E651D"/>
    <w:rsid w:val="487C8BB4"/>
    <w:rsid w:val="4A30EA72"/>
    <w:rsid w:val="4D1DBF23"/>
    <w:rsid w:val="4E04FF10"/>
    <w:rsid w:val="527A6024"/>
    <w:rsid w:val="52AD5950"/>
    <w:rsid w:val="56E9C333"/>
    <w:rsid w:val="61A12B21"/>
    <w:rsid w:val="6274A067"/>
    <w:rsid w:val="674AC21B"/>
    <w:rsid w:val="6C44B08F"/>
    <w:rsid w:val="7226E5E2"/>
    <w:rsid w:val="75372F8B"/>
    <w:rsid w:val="793972FC"/>
    <w:rsid w:val="7B325318"/>
    <w:rsid w:val="7D688991"/>
    <w:rsid w:val="7DE704E8"/>
    <w:rsid w:val="7FBBA1BF"/>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446D8425"/>
  <w15:docId w15:val="{CB8355A5-0F00-4826-8E3C-76ADFE69E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73" w:qFormat="1"/>
    <w:lsdException w:name="Intense Quote" w:uiPriority="6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hidden/>
    <w:rsid w:val="00CD4BF2"/>
    <w:rPr>
      <w:rFonts w:ascii="Arial" w:hAnsi="Arial"/>
      <w:sz w:val="24"/>
      <w:lang w:eastAsia="es-CO"/>
    </w:rPr>
  </w:style>
  <w:style w:type="paragraph" w:styleId="Ttulo1">
    <w:name w:val="heading 1"/>
    <w:basedOn w:val="Normal"/>
    <w:next w:val="Normal"/>
    <w:link w:val="Ttulo1Car"/>
    <w:qFormat/>
    <w:rsid w:val="001029BA"/>
    <w:pPr>
      <w:keepNext/>
      <w:spacing w:before="240" w:after="60"/>
      <w:outlineLvl w:val="0"/>
    </w:pPr>
    <w:rPr>
      <w:rFonts w:cs="Arial"/>
      <w:b/>
      <w:bCs/>
      <w:caps/>
      <w:kern w:val="32"/>
      <w:sz w:val="16"/>
      <w:szCs w:val="32"/>
    </w:rPr>
  </w:style>
  <w:style w:type="paragraph" w:styleId="Ttulo2">
    <w:name w:val="heading 2"/>
    <w:basedOn w:val="Normal"/>
    <w:next w:val="Normal"/>
    <w:link w:val="Ttulo2Car"/>
    <w:qFormat/>
    <w:rsid w:val="002A11F6"/>
    <w:pPr>
      <w:keepNext/>
      <w:outlineLvl w:val="1"/>
    </w:pPr>
    <w:rPr>
      <w:rFonts w:cs="Arial"/>
      <w:b/>
      <w:bCs/>
      <w:iCs/>
      <w:sz w:val="16"/>
      <w:szCs w:val="28"/>
    </w:rPr>
  </w:style>
  <w:style w:type="paragraph" w:styleId="Ttulo3">
    <w:name w:val="heading 3"/>
    <w:basedOn w:val="Normal"/>
    <w:next w:val="Normal"/>
    <w:link w:val="Ttulo3Car"/>
    <w:qFormat/>
    <w:rsid w:val="00AB0460"/>
    <w:pPr>
      <w:keepNext/>
      <w:numPr>
        <w:ilvl w:val="2"/>
        <w:numId w:val="1"/>
      </w:numPr>
      <w:spacing w:before="240" w:after="60"/>
      <w:outlineLvl w:val="2"/>
    </w:pPr>
    <w:rPr>
      <w:rFonts w:cs="Arial"/>
      <w:b/>
      <w:bCs/>
      <w:szCs w:val="26"/>
    </w:rPr>
  </w:style>
  <w:style w:type="paragraph" w:styleId="Ttulo4">
    <w:name w:val="heading 4"/>
    <w:basedOn w:val="Normal"/>
    <w:next w:val="Normal"/>
    <w:link w:val="Ttulo4Car"/>
    <w:qFormat/>
    <w:rsid w:val="00AB0460"/>
    <w:pPr>
      <w:keepNext/>
      <w:numPr>
        <w:ilvl w:val="3"/>
        <w:numId w:val="1"/>
      </w:numPr>
      <w:spacing w:before="240" w:after="60"/>
      <w:outlineLvl w:val="3"/>
    </w:pPr>
    <w:rPr>
      <w:bCs/>
      <w:szCs w:val="28"/>
    </w:rPr>
  </w:style>
  <w:style w:type="paragraph" w:styleId="Ttulo5">
    <w:name w:val="heading 5"/>
    <w:basedOn w:val="Normal"/>
    <w:next w:val="Normal"/>
    <w:link w:val="Ttulo5Car"/>
    <w:qFormat/>
    <w:rsid w:val="00AB0460"/>
    <w:pPr>
      <w:numPr>
        <w:ilvl w:val="4"/>
        <w:numId w:val="1"/>
      </w:numPr>
      <w:spacing w:before="240" w:after="60"/>
      <w:outlineLvl w:val="4"/>
    </w:pPr>
    <w:rPr>
      <w:b/>
      <w:bCs/>
      <w:iCs/>
      <w:szCs w:val="26"/>
      <w:u w:val="single"/>
    </w:rPr>
  </w:style>
  <w:style w:type="paragraph" w:styleId="Ttulo6">
    <w:name w:val="heading 6"/>
    <w:basedOn w:val="Normal"/>
    <w:link w:val="Ttulo6Car"/>
    <w:qFormat/>
    <w:rsid w:val="00AB0460"/>
    <w:pPr>
      <w:numPr>
        <w:ilvl w:val="5"/>
        <w:numId w:val="1"/>
      </w:numPr>
      <w:spacing w:before="100" w:beforeAutospacing="1" w:after="100" w:afterAutospacing="1"/>
      <w:outlineLvl w:val="5"/>
    </w:pPr>
    <w:rPr>
      <w:b/>
      <w:bCs/>
      <w:sz w:val="15"/>
      <w:szCs w:val="15"/>
    </w:rPr>
  </w:style>
  <w:style w:type="paragraph" w:styleId="Ttulo7">
    <w:name w:val="heading 7"/>
    <w:basedOn w:val="Normal"/>
    <w:next w:val="Normal"/>
    <w:link w:val="Ttulo7Car"/>
    <w:qFormat/>
    <w:rsid w:val="00AB0460"/>
    <w:pPr>
      <w:numPr>
        <w:ilvl w:val="6"/>
        <w:numId w:val="1"/>
      </w:numPr>
      <w:spacing w:before="240" w:after="60"/>
      <w:outlineLvl w:val="6"/>
    </w:pPr>
    <w:rPr>
      <w:szCs w:val="24"/>
    </w:rPr>
  </w:style>
  <w:style w:type="paragraph" w:styleId="Ttulo8">
    <w:name w:val="heading 8"/>
    <w:basedOn w:val="Normal"/>
    <w:next w:val="Normal"/>
    <w:link w:val="Ttulo8Car"/>
    <w:qFormat/>
    <w:rsid w:val="00AB0460"/>
    <w:pPr>
      <w:numPr>
        <w:ilvl w:val="7"/>
        <w:numId w:val="1"/>
      </w:numPr>
      <w:spacing w:before="240" w:after="60"/>
      <w:outlineLvl w:val="7"/>
    </w:pPr>
    <w:rPr>
      <w:i/>
      <w:iCs/>
      <w:szCs w:val="24"/>
    </w:rPr>
  </w:style>
  <w:style w:type="paragraph" w:styleId="Ttulo9">
    <w:name w:val="heading 9"/>
    <w:basedOn w:val="Normal"/>
    <w:next w:val="Normal"/>
    <w:link w:val="Ttulo9Car"/>
    <w:qFormat/>
    <w:rsid w:val="00AB0460"/>
    <w:pPr>
      <w:numPr>
        <w:ilvl w:val="8"/>
        <w:numId w:val="1"/>
      </w:numPr>
      <w:spacing w:before="240" w:after="60"/>
      <w:outlineLvl w:val="8"/>
    </w:pPr>
    <w:rPr>
      <w:rFonts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1029BA"/>
    <w:rPr>
      <w:rFonts w:ascii="Arial" w:hAnsi="Arial" w:cs="Arial"/>
      <w:b/>
      <w:bCs/>
      <w:caps/>
      <w:kern w:val="32"/>
      <w:sz w:val="16"/>
      <w:szCs w:val="32"/>
      <w:lang w:val="es-ES"/>
    </w:rPr>
  </w:style>
  <w:style w:type="character" w:customStyle="1" w:styleId="Ttulo2Car">
    <w:name w:val="Título 2 Car"/>
    <w:link w:val="Ttulo2"/>
    <w:rsid w:val="002A11F6"/>
    <w:rPr>
      <w:rFonts w:ascii="Arial" w:hAnsi="Arial" w:cs="Arial"/>
      <w:b/>
      <w:bCs/>
      <w:iCs/>
      <w:sz w:val="16"/>
      <w:szCs w:val="28"/>
      <w:lang w:val="es-ES"/>
    </w:rPr>
  </w:style>
  <w:style w:type="character" w:customStyle="1" w:styleId="Ttulo3Car">
    <w:name w:val="Título 3 Car"/>
    <w:link w:val="Ttulo3"/>
    <w:rsid w:val="00AB0460"/>
    <w:rPr>
      <w:rFonts w:ascii="Arial" w:hAnsi="Arial" w:cs="Arial"/>
      <w:b/>
      <w:bCs/>
      <w:sz w:val="24"/>
      <w:szCs w:val="26"/>
      <w:lang w:eastAsia="es-CO"/>
    </w:rPr>
  </w:style>
  <w:style w:type="character" w:customStyle="1" w:styleId="Ttulo4Car">
    <w:name w:val="Título 4 Car"/>
    <w:link w:val="Ttulo4"/>
    <w:rsid w:val="00AB0460"/>
    <w:rPr>
      <w:rFonts w:ascii="Arial" w:hAnsi="Arial"/>
      <w:bCs/>
      <w:sz w:val="24"/>
      <w:szCs w:val="28"/>
      <w:lang w:eastAsia="es-CO"/>
    </w:rPr>
  </w:style>
  <w:style w:type="character" w:customStyle="1" w:styleId="Ttulo5Car">
    <w:name w:val="Título 5 Car"/>
    <w:link w:val="Ttulo5"/>
    <w:rsid w:val="00AB0460"/>
    <w:rPr>
      <w:rFonts w:ascii="Arial" w:hAnsi="Arial"/>
      <w:b/>
      <w:bCs/>
      <w:iCs/>
      <w:sz w:val="24"/>
      <w:szCs w:val="26"/>
      <w:u w:val="single"/>
      <w:lang w:eastAsia="es-CO"/>
    </w:rPr>
  </w:style>
  <w:style w:type="character" w:customStyle="1" w:styleId="Ttulo6Car">
    <w:name w:val="Título 6 Car"/>
    <w:link w:val="Ttulo6"/>
    <w:rsid w:val="00AB0460"/>
    <w:rPr>
      <w:rFonts w:ascii="Arial" w:hAnsi="Arial"/>
      <w:b/>
      <w:bCs/>
      <w:sz w:val="15"/>
      <w:szCs w:val="15"/>
      <w:lang w:eastAsia="es-CO"/>
    </w:rPr>
  </w:style>
  <w:style w:type="character" w:customStyle="1" w:styleId="Ttulo7Car">
    <w:name w:val="Título 7 Car"/>
    <w:link w:val="Ttulo7"/>
    <w:rsid w:val="00AB0460"/>
    <w:rPr>
      <w:rFonts w:ascii="Arial" w:hAnsi="Arial"/>
      <w:sz w:val="24"/>
      <w:szCs w:val="24"/>
      <w:lang w:eastAsia="es-CO"/>
    </w:rPr>
  </w:style>
  <w:style w:type="character" w:customStyle="1" w:styleId="Ttulo8Car">
    <w:name w:val="Título 8 Car"/>
    <w:link w:val="Ttulo8"/>
    <w:rsid w:val="00AB0460"/>
    <w:rPr>
      <w:rFonts w:ascii="Arial" w:hAnsi="Arial"/>
      <w:i/>
      <w:iCs/>
      <w:sz w:val="24"/>
      <w:szCs w:val="24"/>
      <w:lang w:eastAsia="es-CO"/>
    </w:rPr>
  </w:style>
  <w:style w:type="character" w:customStyle="1" w:styleId="Ttulo9Car">
    <w:name w:val="Título 9 Car"/>
    <w:link w:val="Ttulo9"/>
    <w:rsid w:val="00AB0460"/>
    <w:rPr>
      <w:rFonts w:ascii="Arial" w:hAnsi="Arial" w:cs="Arial"/>
      <w:sz w:val="22"/>
      <w:szCs w:val="22"/>
      <w:lang w:eastAsia="es-CO"/>
    </w:rPr>
  </w:style>
  <w:style w:type="paragraph" w:styleId="Textodebloque">
    <w:name w:val="Block Text"/>
    <w:basedOn w:val="Normal"/>
    <w:rsid w:val="00B10D26"/>
    <w:pPr>
      <w:tabs>
        <w:tab w:val="left" w:pos="12474"/>
      </w:tabs>
      <w:ind w:left="426" w:right="192"/>
    </w:pPr>
    <w:rPr>
      <w:sz w:val="18"/>
    </w:rPr>
  </w:style>
  <w:style w:type="paragraph" w:styleId="Ttulo">
    <w:name w:val="Title"/>
    <w:basedOn w:val="Normal"/>
    <w:link w:val="TtuloCar"/>
    <w:qFormat/>
    <w:rsid w:val="00B10D26"/>
    <w:pPr>
      <w:jc w:val="center"/>
    </w:pPr>
    <w:rPr>
      <w:b/>
      <w:sz w:val="18"/>
    </w:rPr>
  </w:style>
  <w:style w:type="character" w:customStyle="1" w:styleId="TtuloCar">
    <w:name w:val="Título Car"/>
    <w:link w:val="Ttulo"/>
    <w:rsid w:val="00B10D26"/>
    <w:rPr>
      <w:rFonts w:ascii="Arial" w:hAnsi="Arial"/>
      <w:b/>
      <w:sz w:val="18"/>
      <w:lang w:val="es-ES" w:eastAsia="es-CO"/>
    </w:rPr>
  </w:style>
  <w:style w:type="character" w:styleId="Nmerodepgina">
    <w:name w:val="page number"/>
    <w:uiPriority w:val="99"/>
    <w:rsid w:val="00B10D26"/>
  </w:style>
  <w:style w:type="paragraph" w:styleId="Sangra2detindependiente">
    <w:name w:val="Body Text Indent 2"/>
    <w:basedOn w:val="Normal"/>
    <w:link w:val="Sangra2detindependienteCar"/>
    <w:rsid w:val="00B10D26"/>
    <w:pPr>
      <w:ind w:left="360"/>
      <w:jc w:val="both"/>
    </w:pPr>
    <w:rPr>
      <w:sz w:val="18"/>
    </w:rPr>
  </w:style>
  <w:style w:type="character" w:customStyle="1" w:styleId="Sangra2detindependienteCar">
    <w:name w:val="Sangría 2 de t. independiente Car"/>
    <w:link w:val="Sangra2detindependiente"/>
    <w:rsid w:val="00B10D26"/>
    <w:rPr>
      <w:rFonts w:ascii="Arial" w:hAnsi="Arial"/>
      <w:sz w:val="18"/>
      <w:lang w:val="es-ES" w:eastAsia="es-CO"/>
    </w:rPr>
  </w:style>
  <w:style w:type="paragraph" w:customStyle="1" w:styleId="Textoindependiente21">
    <w:name w:val="Texto independiente 21"/>
    <w:basedOn w:val="Normal"/>
    <w:rsid w:val="00B10D26"/>
    <w:pPr>
      <w:tabs>
        <w:tab w:val="left" w:pos="851"/>
      </w:tabs>
      <w:jc w:val="both"/>
    </w:pPr>
    <w:rPr>
      <w:sz w:val="18"/>
      <w:lang w:val="es-ES_tradnl"/>
    </w:rPr>
  </w:style>
  <w:style w:type="paragraph" w:styleId="Textoindependiente2">
    <w:name w:val="Body Text 2"/>
    <w:basedOn w:val="Normal"/>
    <w:link w:val="Textoindependiente2Car"/>
    <w:rsid w:val="00B10D26"/>
    <w:pPr>
      <w:ind w:right="356"/>
      <w:jc w:val="both"/>
    </w:pPr>
    <w:rPr>
      <w:b/>
      <w:sz w:val="22"/>
      <w:lang w:val="x-none"/>
    </w:rPr>
  </w:style>
  <w:style w:type="character" w:customStyle="1" w:styleId="Textoindependiente2Car">
    <w:name w:val="Texto independiente 2 Car"/>
    <w:link w:val="Textoindependiente2"/>
    <w:rsid w:val="00B10D26"/>
    <w:rPr>
      <w:rFonts w:ascii="Arial" w:hAnsi="Arial"/>
      <w:b/>
      <w:sz w:val="22"/>
      <w:lang w:val="x-none" w:eastAsia="es-CO"/>
    </w:rPr>
  </w:style>
  <w:style w:type="paragraph" w:styleId="Textoindependiente">
    <w:name w:val="Body Text"/>
    <w:basedOn w:val="Normal"/>
    <w:link w:val="TextoindependienteCar"/>
    <w:rsid w:val="00B10D26"/>
    <w:pPr>
      <w:jc w:val="both"/>
    </w:pPr>
    <w:rPr>
      <w:b/>
      <w:sz w:val="18"/>
      <w:lang w:val="x-none"/>
    </w:rPr>
  </w:style>
  <w:style w:type="character" w:customStyle="1" w:styleId="TextoindependienteCar">
    <w:name w:val="Texto independiente Car"/>
    <w:link w:val="Textoindependiente"/>
    <w:rsid w:val="00B10D26"/>
    <w:rPr>
      <w:rFonts w:ascii="Arial" w:hAnsi="Arial"/>
      <w:b/>
      <w:sz w:val="18"/>
      <w:lang w:val="x-none" w:eastAsia="es-CO"/>
    </w:rPr>
  </w:style>
  <w:style w:type="paragraph" w:styleId="Piedepgina">
    <w:name w:val="footer"/>
    <w:basedOn w:val="Normal"/>
    <w:link w:val="PiedepginaCar"/>
    <w:rsid w:val="00B10D26"/>
    <w:pPr>
      <w:tabs>
        <w:tab w:val="center" w:pos="4252"/>
        <w:tab w:val="right" w:pos="8504"/>
      </w:tabs>
    </w:pPr>
    <w:rPr>
      <w:sz w:val="20"/>
      <w:lang w:val="es-ES_tradnl"/>
    </w:rPr>
  </w:style>
  <w:style w:type="character" w:customStyle="1" w:styleId="PiedepginaCar">
    <w:name w:val="Pie de página Car"/>
    <w:link w:val="Piedepgina"/>
    <w:rsid w:val="00B10D26"/>
    <w:rPr>
      <w:rFonts w:ascii="Arial" w:hAnsi="Arial"/>
      <w:lang w:val="es-ES_tradnl" w:eastAsia="es-CO"/>
    </w:rPr>
  </w:style>
  <w:style w:type="paragraph" w:styleId="Textoindependiente3">
    <w:name w:val="Body Text 3"/>
    <w:basedOn w:val="Normal"/>
    <w:link w:val="Textoindependiente3Car"/>
    <w:rsid w:val="00B10D26"/>
    <w:pPr>
      <w:jc w:val="both"/>
    </w:pPr>
    <w:rPr>
      <w:b/>
      <w:spacing w:val="20"/>
      <w:sz w:val="16"/>
    </w:rPr>
  </w:style>
  <w:style w:type="character" w:customStyle="1" w:styleId="Textoindependiente3Car">
    <w:name w:val="Texto independiente 3 Car"/>
    <w:link w:val="Textoindependiente3"/>
    <w:rsid w:val="00B10D26"/>
    <w:rPr>
      <w:rFonts w:ascii="Arial" w:hAnsi="Arial"/>
      <w:b/>
      <w:spacing w:val="20"/>
      <w:sz w:val="16"/>
      <w:lang w:val="es-ES" w:eastAsia="es-CO"/>
    </w:rPr>
  </w:style>
  <w:style w:type="paragraph" w:styleId="Sangradetextonormal">
    <w:name w:val="Body Text Indent"/>
    <w:basedOn w:val="Normal"/>
    <w:link w:val="SangradetextonormalCar"/>
    <w:rsid w:val="00B10D26"/>
    <w:pPr>
      <w:tabs>
        <w:tab w:val="left" w:pos="851"/>
      </w:tabs>
      <w:jc w:val="both"/>
    </w:pPr>
    <w:rPr>
      <w:sz w:val="18"/>
      <w:lang w:val="es-ES_tradnl" w:eastAsia="es-ES"/>
    </w:rPr>
  </w:style>
  <w:style w:type="character" w:customStyle="1" w:styleId="SangradetextonormalCar">
    <w:name w:val="Sangría de texto normal Car"/>
    <w:link w:val="Sangradetextonormal"/>
    <w:rsid w:val="00B10D26"/>
    <w:rPr>
      <w:rFonts w:ascii="Arial" w:hAnsi="Arial"/>
      <w:sz w:val="18"/>
      <w:lang w:val="es-ES_tradnl" w:eastAsia="es-ES"/>
    </w:rPr>
  </w:style>
  <w:style w:type="paragraph" w:customStyle="1" w:styleId="Textoindependiente31">
    <w:name w:val="Texto independiente 31"/>
    <w:basedOn w:val="Normal"/>
    <w:rsid w:val="00B10D26"/>
    <w:pPr>
      <w:jc w:val="both"/>
    </w:pPr>
    <w:rPr>
      <w:sz w:val="28"/>
      <w:lang w:val="es-ES_tradnl"/>
    </w:rPr>
  </w:style>
  <w:style w:type="paragraph" w:styleId="Sangra3detindependiente">
    <w:name w:val="Body Text Indent 3"/>
    <w:basedOn w:val="Normal"/>
    <w:link w:val="Sangra3detindependienteCar"/>
    <w:rsid w:val="00B10D26"/>
    <w:pPr>
      <w:ind w:left="709"/>
      <w:jc w:val="both"/>
    </w:pPr>
    <w:rPr>
      <w:lang w:val="x-none"/>
    </w:rPr>
  </w:style>
  <w:style w:type="character" w:customStyle="1" w:styleId="Sangra3detindependienteCar">
    <w:name w:val="Sangría 3 de t. independiente Car"/>
    <w:link w:val="Sangra3detindependiente"/>
    <w:rsid w:val="00B10D26"/>
    <w:rPr>
      <w:rFonts w:ascii="Arial" w:hAnsi="Arial"/>
      <w:sz w:val="24"/>
      <w:lang w:val="x-none" w:eastAsia="es-CO"/>
    </w:rPr>
  </w:style>
  <w:style w:type="paragraph" w:styleId="Encabezado">
    <w:name w:val="header"/>
    <w:basedOn w:val="Normal"/>
    <w:link w:val="EncabezadoCar"/>
    <w:rsid w:val="00B10D26"/>
    <w:pPr>
      <w:tabs>
        <w:tab w:val="center" w:pos="4419"/>
        <w:tab w:val="right" w:pos="8838"/>
      </w:tabs>
      <w:jc w:val="both"/>
    </w:pPr>
    <w:rPr>
      <w:sz w:val="20"/>
      <w:lang w:val="es-ES_tradnl"/>
    </w:rPr>
  </w:style>
  <w:style w:type="character" w:customStyle="1" w:styleId="EncabezadoCar">
    <w:name w:val="Encabezado Car"/>
    <w:link w:val="Encabezado"/>
    <w:rsid w:val="00B10D26"/>
    <w:rPr>
      <w:rFonts w:ascii="Arial" w:hAnsi="Arial"/>
      <w:lang w:val="es-ES_tradnl" w:eastAsia="es-CO"/>
    </w:rPr>
  </w:style>
  <w:style w:type="paragraph" w:styleId="Listaconvietas">
    <w:name w:val="List Bullet"/>
    <w:basedOn w:val="Normal"/>
    <w:link w:val="ListaconvietasCar"/>
    <w:autoRedefine/>
    <w:rsid w:val="00B10D26"/>
    <w:pPr>
      <w:numPr>
        <w:numId w:val="2"/>
      </w:numPr>
    </w:pPr>
  </w:style>
  <w:style w:type="character" w:customStyle="1" w:styleId="ListaconvietasCar">
    <w:name w:val="Lista con viñetas Car"/>
    <w:link w:val="Listaconvietas"/>
    <w:rsid w:val="00B10D26"/>
    <w:rPr>
      <w:rFonts w:ascii="Arial" w:hAnsi="Arial"/>
      <w:sz w:val="24"/>
      <w:lang w:eastAsia="es-CO"/>
    </w:rPr>
  </w:style>
  <w:style w:type="paragraph" w:customStyle="1" w:styleId="Textoindependiente210">
    <w:name w:val="Texto independiente 210"/>
    <w:basedOn w:val="Normal"/>
    <w:rsid w:val="00B10D26"/>
    <w:pPr>
      <w:tabs>
        <w:tab w:val="left" w:pos="851"/>
      </w:tabs>
      <w:jc w:val="both"/>
    </w:pPr>
    <w:rPr>
      <w:sz w:val="18"/>
      <w:lang w:val="es-ES_tradnl"/>
    </w:rPr>
  </w:style>
  <w:style w:type="paragraph" w:customStyle="1" w:styleId="Textoindependiente22">
    <w:name w:val="Texto independiente 22"/>
    <w:basedOn w:val="Normal"/>
    <w:rsid w:val="00B10D26"/>
    <w:pPr>
      <w:tabs>
        <w:tab w:val="left" w:pos="851"/>
      </w:tabs>
      <w:jc w:val="both"/>
    </w:pPr>
    <w:rPr>
      <w:sz w:val="18"/>
      <w:lang w:val="es-ES_tradnl"/>
    </w:rPr>
  </w:style>
  <w:style w:type="character" w:styleId="Hipervnculo">
    <w:name w:val="Hyperlink"/>
    <w:uiPriority w:val="99"/>
    <w:unhideWhenUsed/>
    <w:rsid w:val="00B10D26"/>
    <w:rPr>
      <w:color w:val="0000FF"/>
      <w:u w:val="single"/>
    </w:rPr>
  </w:style>
  <w:style w:type="paragraph" w:styleId="Textodeglobo">
    <w:name w:val="Balloon Text"/>
    <w:basedOn w:val="Normal"/>
    <w:link w:val="TextodegloboCar"/>
    <w:rsid w:val="00B10D26"/>
    <w:rPr>
      <w:rFonts w:ascii="Lucida Grande" w:hAnsi="Lucida Grande"/>
      <w:sz w:val="18"/>
      <w:szCs w:val="18"/>
    </w:rPr>
  </w:style>
  <w:style w:type="character" w:customStyle="1" w:styleId="TextodegloboCar">
    <w:name w:val="Texto de globo Car"/>
    <w:link w:val="Textodeglobo"/>
    <w:rsid w:val="00B10D26"/>
    <w:rPr>
      <w:rFonts w:ascii="Lucida Grande" w:hAnsi="Lucida Grande"/>
      <w:sz w:val="18"/>
      <w:szCs w:val="18"/>
      <w:lang w:val="es-ES" w:eastAsia="es-CO"/>
    </w:rPr>
  </w:style>
  <w:style w:type="character" w:styleId="Refdecomentario">
    <w:name w:val="annotation reference"/>
    <w:rsid w:val="00B10D26"/>
    <w:rPr>
      <w:sz w:val="18"/>
      <w:szCs w:val="18"/>
    </w:rPr>
  </w:style>
  <w:style w:type="paragraph" w:styleId="Textocomentario">
    <w:name w:val="annotation text"/>
    <w:basedOn w:val="Normal"/>
    <w:link w:val="TextocomentarioCar"/>
    <w:rsid w:val="00B10D26"/>
    <w:rPr>
      <w:szCs w:val="24"/>
    </w:rPr>
  </w:style>
  <w:style w:type="character" w:customStyle="1" w:styleId="TextocomentarioCar">
    <w:name w:val="Texto comentario Car"/>
    <w:link w:val="Textocomentario"/>
    <w:rsid w:val="00B10D26"/>
    <w:rPr>
      <w:rFonts w:ascii="Arial" w:hAnsi="Arial"/>
      <w:sz w:val="24"/>
      <w:szCs w:val="24"/>
      <w:lang w:val="es-ES" w:eastAsia="es-CO"/>
    </w:rPr>
  </w:style>
  <w:style w:type="paragraph" w:styleId="Asuntodelcomentario">
    <w:name w:val="annotation subject"/>
    <w:basedOn w:val="Textocomentario"/>
    <w:next w:val="Textocomentario"/>
    <w:link w:val="AsuntodelcomentarioCar"/>
    <w:rsid w:val="00B10D26"/>
    <w:rPr>
      <w:b/>
      <w:bCs/>
    </w:rPr>
  </w:style>
  <w:style w:type="character" w:customStyle="1" w:styleId="AsuntodelcomentarioCar">
    <w:name w:val="Asunto del comentario Car"/>
    <w:link w:val="Asuntodelcomentario"/>
    <w:rsid w:val="00B10D26"/>
    <w:rPr>
      <w:rFonts w:ascii="Arial" w:hAnsi="Arial"/>
      <w:b/>
      <w:bCs/>
      <w:sz w:val="24"/>
      <w:szCs w:val="24"/>
      <w:lang w:val="es-ES" w:eastAsia="es-CO"/>
    </w:rPr>
  </w:style>
  <w:style w:type="paragraph" w:styleId="Mapadeldocumento">
    <w:name w:val="Document Map"/>
    <w:basedOn w:val="Normal"/>
    <w:link w:val="MapadeldocumentoCar"/>
    <w:rsid w:val="00B10D26"/>
    <w:rPr>
      <w:rFonts w:ascii="Lucida Grande" w:hAnsi="Lucida Grande"/>
      <w:szCs w:val="24"/>
    </w:rPr>
  </w:style>
  <w:style w:type="character" w:customStyle="1" w:styleId="MapadeldocumentoCar">
    <w:name w:val="Mapa del documento Car"/>
    <w:link w:val="Mapadeldocumento"/>
    <w:rsid w:val="00B10D26"/>
    <w:rPr>
      <w:rFonts w:ascii="Lucida Grande" w:hAnsi="Lucida Grande"/>
      <w:sz w:val="24"/>
      <w:szCs w:val="24"/>
      <w:lang w:val="es-ES" w:eastAsia="es-CO"/>
    </w:rPr>
  </w:style>
  <w:style w:type="character" w:styleId="Hipervnculovisitado">
    <w:name w:val="FollowedHyperlink"/>
    <w:rsid w:val="00B10D26"/>
    <w:rPr>
      <w:color w:val="800080"/>
      <w:u w:val="single"/>
    </w:rPr>
  </w:style>
  <w:style w:type="paragraph" w:customStyle="1" w:styleId="Encabezadodetabladecontenido1">
    <w:name w:val="Encabezado de tabla de contenido1"/>
    <w:basedOn w:val="Ttulo1"/>
    <w:next w:val="Normal"/>
    <w:uiPriority w:val="39"/>
    <w:semiHidden/>
    <w:unhideWhenUsed/>
    <w:qFormat/>
    <w:rsid w:val="009214C2"/>
    <w:pPr>
      <w:keepLines/>
      <w:spacing w:before="480" w:after="0" w:line="276" w:lineRule="auto"/>
      <w:outlineLvl w:val="9"/>
    </w:pPr>
    <w:rPr>
      <w:rFonts w:ascii="Cambria" w:hAnsi="Cambria" w:cs="Times New Roman"/>
      <w:caps w:val="0"/>
      <w:color w:val="365F91"/>
      <w:kern w:val="0"/>
      <w:sz w:val="28"/>
      <w:szCs w:val="28"/>
      <w:lang w:val="es-CO"/>
    </w:rPr>
  </w:style>
  <w:style w:type="paragraph" w:styleId="TDC1">
    <w:name w:val="toc 1"/>
    <w:basedOn w:val="Normal"/>
    <w:next w:val="Normal"/>
    <w:autoRedefine/>
    <w:uiPriority w:val="39"/>
    <w:unhideWhenUsed/>
    <w:rsid w:val="009214C2"/>
    <w:pPr>
      <w:spacing w:before="240" w:after="120"/>
    </w:pPr>
    <w:rPr>
      <w:b/>
      <w:bCs/>
      <w:sz w:val="16"/>
    </w:rPr>
  </w:style>
  <w:style w:type="paragraph" w:styleId="TDC2">
    <w:name w:val="toc 2"/>
    <w:basedOn w:val="Normal"/>
    <w:next w:val="Normal"/>
    <w:autoRedefine/>
    <w:uiPriority w:val="39"/>
    <w:unhideWhenUsed/>
    <w:rsid w:val="009214C2"/>
    <w:pPr>
      <w:tabs>
        <w:tab w:val="right" w:leader="dot" w:pos="8830"/>
      </w:tabs>
      <w:ind w:left="240"/>
      <w:jc w:val="both"/>
    </w:pPr>
    <w:rPr>
      <w:iCs/>
      <w:sz w:val="16"/>
    </w:rPr>
  </w:style>
  <w:style w:type="paragraph" w:styleId="TDC3">
    <w:name w:val="toc 3"/>
    <w:basedOn w:val="Normal"/>
    <w:next w:val="Normal"/>
    <w:autoRedefine/>
    <w:uiPriority w:val="39"/>
    <w:unhideWhenUsed/>
    <w:rsid w:val="009214C2"/>
    <w:pPr>
      <w:ind w:left="480"/>
    </w:pPr>
    <w:rPr>
      <w:rFonts w:ascii="Calibri" w:hAnsi="Calibri"/>
      <w:sz w:val="20"/>
    </w:rPr>
  </w:style>
  <w:style w:type="paragraph" w:styleId="TDC4">
    <w:name w:val="toc 4"/>
    <w:basedOn w:val="Normal"/>
    <w:next w:val="Normal"/>
    <w:autoRedefine/>
    <w:uiPriority w:val="39"/>
    <w:unhideWhenUsed/>
    <w:rsid w:val="009214C2"/>
    <w:pPr>
      <w:ind w:left="720"/>
    </w:pPr>
    <w:rPr>
      <w:rFonts w:ascii="Calibri" w:hAnsi="Calibri"/>
      <w:sz w:val="20"/>
    </w:rPr>
  </w:style>
  <w:style w:type="paragraph" w:styleId="TDC5">
    <w:name w:val="toc 5"/>
    <w:basedOn w:val="Normal"/>
    <w:next w:val="Normal"/>
    <w:autoRedefine/>
    <w:uiPriority w:val="39"/>
    <w:unhideWhenUsed/>
    <w:rsid w:val="009214C2"/>
    <w:pPr>
      <w:ind w:left="960"/>
    </w:pPr>
    <w:rPr>
      <w:rFonts w:ascii="Calibri" w:hAnsi="Calibri"/>
      <w:sz w:val="20"/>
    </w:rPr>
  </w:style>
  <w:style w:type="paragraph" w:styleId="TDC6">
    <w:name w:val="toc 6"/>
    <w:basedOn w:val="Normal"/>
    <w:next w:val="Normal"/>
    <w:autoRedefine/>
    <w:uiPriority w:val="39"/>
    <w:unhideWhenUsed/>
    <w:rsid w:val="009214C2"/>
    <w:pPr>
      <w:ind w:left="1200"/>
    </w:pPr>
    <w:rPr>
      <w:rFonts w:ascii="Calibri" w:hAnsi="Calibri"/>
      <w:sz w:val="20"/>
    </w:rPr>
  </w:style>
  <w:style w:type="paragraph" w:styleId="TDC7">
    <w:name w:val="toc 7"/>
    <w:basedOn w:val="Normal"/>
    <w:next w:val="Normal"/>
    <w:autoRedefine/>
    <w:uiPriority w:val="39"/>
    <w:unhideWhenUsed/>
    <w:rsid w:val="009214C2"/>
    <w:pPr>
      <w:ind w:left="1440"/>
    </w:pPr>
    <w:rPr>
      <w:rFonts w:ascii="Calibri" w:hAnsi="Calibri"/>
      <w:sz w:val="20"/>
    </w:rPr>
  </w:style>
  <w:style w:type="paragraph" w:styleId="TDC8">
    <w:name w:val="toc 8"/>
    <w:basedOn w:val="Normal"/>
    <w:next w:val="Normal"/>
    <w:autoRedefine/>
    <w:uiPriority w:val="39"/>
    <w:unhideWhenUsed/>
    <w:rsid w:val="009214C2"/>
    <w:pPr>
      <w:ind w:left="1680"/>
    </w:pPr>
    <w:rPr>
      <w:rFonts w:ascii="Calibri" w:hAnsi="Calibri"/>
      <w:sz w:val="20"/>
    </w:rPr>
  </w:style>
  <w:style w:type="paragraph" w:styleId="TDC9">
    <w:name w:val="toc 9"/>
    <w:basedOn w:val="Normal"/>
    <w:next w:val="Normal"/>
    <w:autoRedefine/>
    <w:uiPriority w:val="39"/>
    <w:unhideWhenUsed/>
    <w:rsid w:val="009214C2"/>
    <w:pPr>
      <w:ind w:left="1920"/>
    </w:pPr>
    <w:rPr>
      <w:rFonts w:ascii="Calibri" w:hAnsi="Calibri"/>
      <w:sz w:val="20"/>
    </w:rPr>
  </w:style>
  <w:style w:type="paragraph" w:customStyle="1" w:styleId="Listaclara-nfasis31">
    <w:name w:val="Lista clara - Énfasis 31"/>
    <w:hidden/>
    <w:uiPriority w:val="71"/>
    <w:rsid w:val="00CD4BF2"/>
    <w:rPr>
      <w:rFonts w:ascii="Arial" w:hAnsi="Arial"/>
      <w:sz w:val="24"/>
      <w:lang w:eastAsia="es-CO"/>
    </w:rPr>
  </w:style>
  <w:style w:type="paragraph" w:customStyle="1" w:styleId="Textodecuerpo21">
    <w:name w:val="Texto de cuerpo 21"/>
    <w:basedOn w:val="Normal"/>
    <w:rsid w:val="00243B4D"/>
    <w:pPr>
      <w:tabs>
        <w:tab w:val="left" w:pos="851"/>
      </w:tabs>
      <w:jc w:val="both"/>
    </w:pPr>
    <w:rPr>
      <w:sz w:val="18"/>
      <w:lang w:val="es-ES_tradnl"/>
    </w:rPr>
  </w:style>
  <w:style w:type="paragraph" w:styleId="Prrafodelista">
    <w:name w:val="List Paragraph"/>
    <w:basedOn w:val="Normal"/>
    <w:uiPriority w:val="34"/>
    <w:qFormat/>
    <w:rsid w:val="00A92F8B"/>
    <w:pPr>
      <w:ind w:left="720"/>
      <w:contextualSpacing/>
    </w:pPr>
  </w:style>
  <w:style w:type="character" w:styleId="Textodelmarcadordeposicin">
    <w:name w:val="Placeholder Text"/>
    <w:basedOn w:val="Fuentedeprrafopredeter"/>
    <w:uiPriority w:val="99"/>
    <w:semiHidden/>
    <w:rsid w:val="000D7CEE"/>
    <w:rPr>
      <w:color w:val="808080"/>
    </w:rPr>
  </w:style>
  <w:style w:type="paragraph" w:customStyle="1" w:styleId="Default">
    <w:name w:val="Default"/>
    <w:uiPriority w:val="99"/>
    <w:rsid w:val="00577AB4"/>
    <w:pPr>
      <w:autoSpaceDE w:val="0"/>
      <w:autoSpaceDN w:val="0"/>
      <w:adjustRightInd w:val="0"/>
    </w:pPr>
    <w:rPr>
      <w:rFonts w:ascii="Arial" w:eastAsia="Calibri" w:hAnsi="Arial" w:cs="Arial"/>
      <w:color w:val="000000"/>
      <w:sz w:val="24"/>
      <w:szCs w:val="24"/>
      <w:lang w:val="es-CO" w:eastAsia="en-US"/>
    </w:rPr>
  </w:style>
  <w:style w:type="paragraph" w:customStyle="1" w:styleId="Titulo2">
    <w:name w:val="Titulo 2"/>
    <w:basedOn w:val="Normal"/>
    <w:rsid w:val="00577AB4"/>
    <w:pPr>
      <w:numPr>
        <w:numId w:val="6"/>
      </w:numPr>
    </w:pPr>
    <w:rPr>
      <w:rFonts w:ascii="Times New Roman" w:hAnsi="Times New Roman"/>
      <w:szCs w:val="24"/>
      <w:lang w:eastAsia="es-ES"/>
    </w:rPr>
  </w:style>
  <w:style w:type="paragraph" w:customStyle="1" w:styleId="Titulo">
    <w:name w:val="Titulo"/>
    <w:basedOn w:val="Normal"/>
    <w:rsid w:val="00577AB4"/>
    <w:pPr>
      <w:numPr>
        <w:ilvl w:val="1"/>
        <w:numId w:val="6"/>
      </w:numPr>
    </w:pPr>
    <w:rPr>
      <w:rFonts w:ascii="Times New Roman" w:hAnsi="Times New Roman"/>
      <w:szCs w:val="24"/>
      <w:lang w:eastAsia="es-ES"/>
    </w:rPr>
  </w:style>
  <w:style w:type="paragraph" w:customStyle="1" w:styleId="Textoindependiente2100">
    <w:name w:val="Texto independiente 2100"/>
    <w:basedOn w:val="Normal"/>
    <w:rsid w:val="00C434E9"/>
    <w:pPr>
      <w:tabs>
        <w:tab w:val="left" w:pos="851"/>
      </w:tabs>
      <w:jc w:val="both"/>
    </w:pPr>
    <w:rPr>
      <w:sz w:val="18"/>
      <w:lang w:val="es-ES_tradnl"/>
    </w:rPr>
  </w:style>
  <w:style w:type="paragraph" w:customStyle="1" w:styleId="Textoindependiente21000">
    <w:name w:val="Texto independiente 21000"/>
    <w:basedOn w:val="Normal"/>
    <w:rsid w:val="00790EAF"/>
    <w:pPr>
      <w:tabs>
        <w:tab w:val="left" w:pos="851"/>
      </w:tabs>
      <w:jc w:val="both"/>
    </w:pPr>
    <w:rPr>
      <w:sz w:val="18"/>
      <w:lang w:val="es-ES_tradnl"/>
    </w:rPr>
  </w:style>
  <w:style w:type="paragraph" w:customStyle="1" w:styleId="Textoindependiente210000">
    <w:name w:val="Texto independiente 210000"/>
    <w:basedOn w:val="Normal"/>
    <w:rsid w:val="00C06C3A"/>
    <w:pPr>
      <w:tabs>
        <w:tab w:val="left" w:pos="851"/>
      </w:tabs>
      <w:jc w:val="both"/>
    </w:pPr>
    <w:rPr>
      <w:sz w:val="18"/>
      <w:lang w:val="es-ES_tradnl"/>
    </w:rPr>
  </w:style>
  <w:style w:type="paragraph" w:customStyle="1" w:styleId="Textoindependiente2100000">
    <w:name w:val="Texto independiente 2100000"/>
    <w:basedOn w:val="Normal"/>
    <w:rsid w:val="00D327DD"/>
    <w:pPr>
      <w:tabs>
        <w:tab w:val="left" w:pos="851"/>
      </w:tabs>
      <w:jc w:val="both"/>
    </w:pPr>
    <w:rPr>
      <w:sz w:val="18"/>
      <w:lang w:val="es-ES_tradnl"/>
    </w:rPr>
  </w:style>
  <w:style w:type="paragraph" w:customStyle="1" w:styleId="Textoindependiente21000000">
    <w:name w:val="Texto independiente 21000000"/>
    <w:basedOn w:val="Normal"/>
    <w:rsid w:val="006C4CC2"/>
    <w:pPr>
      <w:tabs>
        <w:tab w:val="left" w:pos="851"/>
      </w:tabs>
      <w:jc w:val="both"/>
    </w:pPr>
    <w:rPr>
      <w:sz w:val="18"/>
      <w:lang w:val="es-ES_tradnl"/>
    </w:rPr>
  </w:style>
  <w:style w:type="paragraph" w:customStyle="1" w:styleId="Textoindependiente210000000">
    <w:name w:val="Texto independiente 210000000"/>
    <w:basedOn w:val="Normal"/>
    <w:rsid w:val="00D56961"/>
    <w:pPr>
      <w:tabs>
        <w:tab w:val="left" w:pos="851"/>
      </w:tabs>
      <w:jc w:val="both"/>
    </w:pPr>
    <w:rPr>
      <w:sz w:val="18"/>
      <w:lang w:val="es-ES_tradnl"/>
    </w:rPr>
  </w:style>
  <w:style w:type="paragraph" w:customStyle="1" w:styleId="Textoindependiente2100000000">
    <w:name w:val="Texto independiente 2100000000"/>
    <w:basedOn w:val="Normal"/>
    <w:rsid w:val="0092341B"/>
    <w:pPr>
      <w:tabs>
        <w:tab w:val="left" w:pos="851"/>
      </w:tabs>
      <w:jc w:val="both"/>
    </w:pPr>
    <w:rPr>
      <w:sz w:val="18"/>
      <w:lang w:val="es-ES_tradnl"/>
    </w:rPr>
  </w:style>
  <w:style w:type="paragraph" w:customStyle="1" w:styleId="Textoindependiente21000000000">
    <w:name w:val="Texto independiente 21000000000"/>
    <w:basedOn w:val="Normal"/>
    <w:rsid w:val="00F62911"/>
    <w:pPr>
      <w:tabs>
        <w:tab w:val="left" w:pos="851"/>
      </w:tabs>
      <w:jc w:val="both"/>
    </w:pPr>
    <w:rPr>
      <w:sz w:val="18"/>
      <w:lang w:val="es-ES_tradnl"/>
    </w:rPr>
  </w:style>
  <w:style w:type="character" w:customStyle="1" w:styleId="normaltextrun">
    <w:name w:val="normaltextrun"/>
    <w:basedOn w:val="Fuentedeprrafopredeter"/>
    <w:rsid w:val="003B2A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2602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0FD68574237D849A835D1FFB895F586" ma:contentTypeVersion="4" ma:contentTypeDescription="Crear nuevo documento." ma:contentTypeScope="" ma:versionID="1746293a2f1bdf4ca5a4ecf965289764">
  <xsd:schema xmlns:xsd="http://www.w3.org/2001/XMLSchema" xmlns:xs="http://www.w3.org/2001/XMLSchema" xmlns:p="http://schemas.microsoft.com/office/2006/metadata/properties" xmlns:ns2="2806e0fb-3321-4a19-a0bb-629fbbee7344" xmlns:ns3="87507fc1-2ee4-4bca-8654-35e95601ee33" targetNamespace="http://schemas.microsoft.com/office/2006/metadata/properties" ma:root="true" ma:fieldsID="d7b1bc0c42af8b5bb8ca7b880f60357e" ns2:_="" ns3:_="">
    <xsd:import namespace="2806e0fb-3321-4a19-a0bb-629fbbee7344"/>
    <xsd:import namespace="87507fc1-2ee4-4bca-8654-35e95601ee3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6e0fb-3321-4a19-a0bb-629fbbee7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507fc1-2ee4-4bca-8654-35e95601ee33"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31F7F-B195-4BBA-AFC0-27ECB1096A19}">
  <ds:schemaRefs>
    <ds:schemaRef ds:uri="http://www.w3.org/XML/1998/namespace"/>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dcmitype/"/>
    <ds:schemaRef ds:uri="http://schemas.microsoft.com/office/infopath/2007/PartnerControls"/>
    <ds:schemaRef ds:uri="4b7b0785-c4d7-436d-b897-38901db80b41"/>
    <ds:schemaRef ds:uri="09f3234f-540a-47d9-9911-831b2befbdf1"/>
  </ds:schemaRefs>
</ds:datastoreItem>
</file>

<file path=customXml/itemProps2.xml><?xml version="1.0" encoding="utf-8"?>
<ds:datastoreItem xmlns:ds="http://schemas.openxmlformats.org/officeDocument/2006/customXml" ds:itemID="{B22A4C5A-5B3F-4700-BECD-1E9CBE622621}"/>
</file>

<file path=customXml/itemProps3.xml><?xml version="1.0" encoding="utf-8"?>
<ds:datastoreItem xmlns:ds="http://schemas.openxmlformats.org/officeDocument/2006/customXml" ds:itemID="{3C5E71BA-8578-4E21-AEF1-D2807FA82E01}">
  <ds:schemaRefs>
    <ds:schemaRef ds:uri="http://schemas.microsoft.com/sharepoint/v3/contenttype/forms"/>
  </ds:schemaRefs>
</ds:datastoreItem>
</file>

<file path=customXml/itemProps4.xml><?xml version="1.0" encoding="utf-8"?>
<ds:datastoreItem xmlns:ds="http://schemas.openxmlformats.org/officeDocument/2006/customXml" ds:itemID="{52C1B0B1-76F6-4F4E-9E0C-C2C967B05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2266</Words>
  <Characters>12468</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 Castañeda</dc:creator>
  <cp:keywords/>
  <cp:lastModifiedBy>Juan Camilo Zuluaga Gomez</cp:lastModifiedBy>
  <cp:revision>5</cp:revision>
  <dcterms:created xsi:type="dcterms:W3CDTF">2021-03-24T23:08:00Z</dcterms:created>
  <dcterms:modified xsi:type="dcterms:W3CDTF">2021-03-25T00:05:00Z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0x010100C0FD68574237D849A835D1FFB895F586</vt:lpwstr>
  </property>
</Properties>
</file>